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EFC7" w14:textId="77777777"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0496892D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b/>
          <w:sz w:val="24"/>
        </w:rPr>
      </w:pPr>
      <w:r w:rsidRPr="003C1675">
        <w:rPr>
          <w:rFonts w:asciiTheme="minorHAnsi" w:hAnsiTheme="minorHAnsi"/>
          <w:b/>
          <w:bCs/>
          <w:sz w:val="24"/>
        </w:rPr>
        <w:t xml:space="preserve">Informácia pre žiadateľov o nenávratný finančný príspevok, resp. o príspevok v zmysle čl. 137  a </w:t>
      </w:r>
      <w:proofErr w:type="spellStart"/>
      <w:r w:rsidRPr="003C1675">
        <w:rPr>
          <w:rFonts w:asciiTheme="minorHAnsi" w:hAnsiTheme="minorHAnsi"/>
          <w:b/>
          <w:bCs/>
          <w:sz w:val="24"/>
        </w:rPr>
        <w:t>nasl</w:t>
      </w:r>
      <w:proofErr w:type="spellEnd"/>
      <w:r w:rsidRPr="003C1675">
        <w:rPr>
          <w:rFonts w:asciiTheme="minorHAnsi" w:hAnsiTheme="minorHAnsi"/>
          <w:b/>
          <w:bCs/>
          <w:sz w:val="24"/>
        </w:rPr>
        <w:t xml:space="preserve">. nariadenia Európskeho parlamentu a Rady (EÚ, </w:t>
      </w:r>
      <w:proofErr w:type="spellStart"/>
      <w:r w:rsidRPr="003C1675">
        <w:rPr>
          <w:rFonts w:asciiTheme="minorHAnsi" w:hAnsiTheme="minorHAnsi"/>
          <w:b/>
          <w:bCs/>
          <w:sz w:val="24"/>
        </w:rPr>
        <w:t>Euratom</w:t>
      </w:r>
      <w:proofErr w:type="spellEnd"/>
      <w:r w:rsidRPr="003C1675">
        <w:rPr>
          <w:rFonts w:asciiTheme="minorHAnsi" w:hAnsiTheme="minorHAnsi"/>
          <w:b/>
          <w:bCs/>
          <w:sz w:val="24"/>
        </w:rPr>
        <w:t xml:space="preserve">) 2024/2509  z 23. septembra 2024 , ktorým sa zrušuje nariadenie 1929/2015 z 28. októbra 2015 a nariadenie (EÚ, </w:t>
      </w:r>
      <w:proofErr w:type="spellStart"/>
      <w:r w:rsidRPr="003C1675">
        <w:rPr>
          <w:rFonts w:asciiTheme="minorHAnsi" w:hAnsiTheme="minorHAnsi"/>
          <w:b/>
          <w:bCs/>
          <w:sz w:val="24"/>
        </w:rPr>
        <w:t>Euratom</w:t>
      </w:r>
      <w:proofErr w:type="spellEnd"/>
      <w:r w:rsidRPr="003C1675">
        <w:rPr>
          <w:rFonts w:asciiTheme="minorHAnsi" w:hAnsiTheme="minorHAnsi"/>
          <w:b/>
          <w:bCs/>
          <w:sz w:val="24"/>
        </w:rPr>
        <w:t>) č. 966/2012 o rozpočtových pravidlách, ktoré sa vzťahujú na všeobecný rozpočet Únie</w:t>
      </w:r>
    </w:p>
    <w:p w14:paraId="1E193BC5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b/>
          <w:sz w:val="24"/>
        </w:rPr>
      </w:pPr>
    </w:p>
    <w:p w14:paraId="4916C5CA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b/>
          <w:sz w:val="24"/>
        </w:rPr>
      </w:pPr>
    </w:p>
    <w:p w14:paraId="09AEAC54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3C1675">
        <w:rPr>
          <w:rFonts w:asciiTheme="minorHAnsi" w:hAnsiTheme="minorHAnsi"/>
          <w:sz w:val="24"/>
          <w:szCs w:val="24"/>
        </w:rPr>
        <w:t xml:space="preserve">Európska komisia zriadila a prevádzkuje Systém včasného odhaľovania rizika a vylúčených  subjektov – </w:t>
      </w:r>
      <w:proofErr w:type="spellStart"/>
      <w:r w:rsidRPr="003C1675">
        <w:rPr>
          <w:rFonts w:asciiTheme="minorHAnsi" w:hAnsiTheme="minorHAnsi"/>
          <w:sz w:val="24"/>
          <w:szCs w:val="24"/>
        </w:rPr>
        <w:t>The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3C1675">
        <w:rPr>
          <w:rFonts w:asciiTheme="minorHAnsi" w:hAnsiTheme="minorHAnsi"/>
          <w:sz w:val="24"/>
          <w:szCs w:val="24"/>
        </w:rPr>
        <w:t>Early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3C1675">
        <w:rPr>
          <w:rFonts w:asciiTheme="minorHAnsi" w:hAnsiTheme="minorHAnsi"/>
          <w:sz w:val="24"/>
          <w:szCs w:val="24"/>
        </w:rPr>
        <w:t>Detection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3C1675">
        <w:rPr>
          <w:rFonts w:asciiTheme="minorHAnsi" w:hAnsiTheme="minorHAnsi"/>
          <w:sz w:val="24"/>
          <w:szCs w:val="24"/>
        </w:rPr>
        <w:t>Exclusion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1675">
        <w:rPr>
          <w:rFonts w:asciiTheme="minorHAnsi" w:hAnsiTheme="minorHAnsi"/>
          <w:sz w:val="24"/>
          <w:szCs w:val="24"/>
        </w:rPr>
        <w:t>System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(ďalej len „EDES databáza“),  </w:t>
      </w:r>
      <w:r w:rsidRPr="003C1675">
        <w:rPr>
          <w:rFonts w:asciiTheme="minorHAnsi" w:hAnsiTheme="minorHAnsi"/>
          <w:sz w:val="24"/>
          <w:szCs w:val="24"/>
        </w:rPr>
        <w:br/>
        <w:t>aby  posilnila  ochranu finančných záujmov Európskej únie. Od 1. januára 2016 EDES databáza nahrádza Systém včasného varovania  (</w:t>
      </w:r>
      <w:proofErr w:type="spellStart"/>
      <w:r w:rsidRPr="003C1675">
        <w:rPr>
          <w:rFonts w:asciiTheme="minorHAnsi" w:hAnsiTheme="minorHAnsi"/>
          <w:sz w:val="24"/>
          <w:szCs w:val="24"/>
        </w:rPr>
        <w:t>Early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3C1675">
        <w:rPr>
          <w:rFonts w:asciiTheme="minorHAnsi" w:hAnsiTheme="minorHAnsi"/>
          <w:sz w:val="24"/>
          <w:szCs w:val="24"/>
        </w:rPr>
        <w:t>Warning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3C1675">
        <w:rPr>
          <w:rFonts w:asciiTheme="minorHAnsi" w:hAnsiTheme="minorHAnsi"/>
          <w:sz w:val="24"/>
          <w:szCs w:val="24"/>
        </w:rPr>
        <w:t>System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– EWS)  a  Centrálnu  databázu  vylúčených  subjektov  (</w:t>
      </w:r>
      <w:proofErr w:type="spellStart"/>
      <w:r w:rsidRPr="003C1675">
        <w:rPr>
          <w:rFonts w:asciiTheme="minorHAnsi" w:hAnsiTheme="minorHAnsi"/>
          <w:sz w:val="24"/>
          <w:szCs w:val="24"/>
        </w:rPr>
        <w:t>Central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1675">
        <w:rPr>
          <w:rFonts w:asciiTheme="minorHAnsi" w:hAnsiTheme="minorHAnsi"/>
          <w:sz w:val="24"/>
          <w:szCs w:val="24"/>
        </w:rPr>
        <w:t>Exclusion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1675">
        <w:rPr>
          <w:rFonts w:asciiTheme="minorHAnsi" w:hAnsiTheme="minorHAnsi"/>
          <w:sz w:val="24"/>
          <w:szCs w:val="24"/>
        </w:rPr>
        <w:t>Database</w:t>
      </w:r>
      <w:proofErr w:type="spellEnd"/>
      <w:r w:rsidRPr="003C1675">
        <w:rPr>
          <w:rFonts w:asciiTheme="minorHAnsi" w:hAnsiTheme="minorHAnsi"/>
          <w:sz w:val="24"/>
          <w:szCs w:val="24"/>
        </w:rPr>
        <w:t xml:space="preserve"> – CED). </w:t>
      </w:r>
    </w:p>
    <w:p w14:paraId="0D15D31B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19507C51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3C1675">
        <w:rPr>
          <w:rFonts w:asciiTheme="minorHAnsi" w:hAnsiTheme="minorHAnsi"/>
          <w:sz w:val="24"/>
          <w:szCs w:val="24"/>
        </w:rPr>
        <w:t xml:space="preserve">Účelom EDES databázy je (1) včasné odhalenie osôb alebo subjektov uvedených v odseku 2 čl. 137, ktoré predstavujú riziko pre finančné záujmy Únie;; (2) vylúčenie osôb alebo subjektov uvedených v odseku 2 čl. 137, ktoré sa nachádzajú v jednej zo situácií vyžadujúcich si vylúčenie uvedených v článku 138 ods. 1nariadenia  Európskeho  parlamentu a Rady (EÚ,  </w:t>
      </w:r>
      <w:proofErr w:type="spellStart"/>
      <w:r w:rsidRPr="003C1675">
        <w:rPr>
          <w:rFonts w:asciiTheme="minorHAnsi" w:hAnsiTheme="minorHAnsi"/>
          <w:sz w:val="24"/>
          <w:szCs w:val="24"/>
        </w:rPr>
        <w:t>Euratom</w:t>
      </w:r>
      <w:proofErr w:type="spellEnd"/>
      <w:r w:rsidRPr="003C1675">
        <w:rPr>
          <w:rFonts w:asciiTheme="minorHAnsi" w:hAnsiTheme="minorHAnsi"/>
          <w:sz w:val="24"/>
          <w:szCs w:val="24"/>
        </w:rPr>
        <w:t>)  č. 2024/2509 o rozpočtových pravidlách, ktoré sa vzťahujú na všeobecný rozpočet Únie (ďalej len „nariadenie o rozpočtových pravidlách“) a (3) ukladanie peňažných sankcií príjemcovi finančných prostriedkov  podľa článku 140  nariadenia o rozpočtových pravidlách.</w:t>
      </w:r>
    </w:p>
    <w:p w14:paraId="3FBDEA2B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3C1675">
        <w:rPr>
          <w:rFonts w:asciiTheme="minorHAnsi" w:hAnsiTheme="minorHAnsi"/>
          <w:sz w:val="24"/>
          <w:szCs w:val="24"/>
        </w:rPr>
        <w:t xml:space="preserve">Žiadatelia o nenávratný finančný príspevok, resp. o príspevok sú týmto informovaní, že </w:t>
      </w:r>
      <w:r w:rsidRPr="003C1675">
        <w:rPr>
          <w:rFonts w:asciiTheme="minorHAnsi" w:hAnsiTheme="minorHAnsi"/>
          <w:sz w:val="24"/>
          <w:szCs w:val="24"/>
        </w:rPr>
        <w:br/>
        <w:t xml:space="preserve">v prípade, ak sa ocitnú v niektorej zo situácií uvedených v  čl. 138  ods. 1 nariadenia o rozpočtových pravidlách, tak ich údaje  môžu byť registrované  v EDES databáze a môžu byť oznámené oprávneným osobám a inštitúciám v súvislosti s možnosťou poskytnutia finančných prostriedkov z rozpočtu Európskej únie. </w:t>
      </w:r>
    </w:p>
    <w:p w14:paraId="73CD5D0B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28775EA4" w14:textId="77777777" w:rsidR="00062F26" w:rsidRPr="003C1675" w:rsidRDefault="00062F26" w:rsidP="00062F26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3C1675">
        <w:rPr>
          <w:rFonts w:asciiTheme="minorHAnsi" w:hAnsiTheme="minorHAnsi"/>
          <w:sz w:val="24"/>
          <w:szCs w:val="24"/>
        </w:rPr>
        <w:t xml:space="preserve">Právnické  a fyzické  osoby  si  môžu zároveň  uplatňovať svoje  práva  vyplývajúce  </w:t>
      </w:r>
      <w:r w:rsidRPr="003C1675">
        <w:rPr>
          <w:rFonts w:asciiTheme="minorHAnsi" w:hAnsiTheme="minorHAnsi"/>
          <w:sz w:val="24"/>
          <w:szCs w:val="24"/>
        </w:rPr>
        <w:br/>
        <w:t xml:space="preserve">z nariadenia Európskeho parlamentu a Rady (ES) č. 2018/1725  z 23 . októbra 2018  o ochrane fyzických osôb pri spracúvaní osobných údajov inštitúciami, orgánmi, úradmi a agentúrami Únie a o voľnom pohybe takýchto údajov, ktorým sa zrušuje nariadenie (ES) č. 45/2001 a rozhodnutie č. 1247/2002/ES a nariadenia Európskeho parlamentu a Rady (EÚ) 679/2016 z 27. apríla 2016 o ochrane fyzických osôb pri spracúvaní osobných údajov a o voľnom pohybe takýchto údajov, ktorým sa zrušuje smernica 95/46/ES (všeobecné nariadenie o ochrane údajov). </w:t>
      </w:r>
    </w:p>
    <w:p w14:paraId="067685EF" w14:textId="77777777" w:rsidR="00062F26" w:rsidRDefault="00062F26" w:rsidP="004F3430">
      <w:pPr>
        <w:ind w:firstLine="0"/>
        <w:jc w:val="both"/>
        <w:rPr>
          <w:rFonts w:asciiTheme="minorHAnsi" w:hAnsiTheme="minorHAnsi"/>
          <w:b/>
          <w:bCs/>
          <w:strike/>
          <w:color w:val="00B050"/>
          <w:sz w:val="24"/>
        </w:rPr>
      </w:pPr>
    </w:p>
    <w:p w14:paraId="0BFCD8D3" w14:textId="77777777" w:rsidR="00062F26" w:rsidRDefault="00062F26" w:rsidP="004F3430">
      <w:pPr>
        <w:ind w:firstLine="0"/>
        <w:jc w:val="both"/>
        <w:rPr>
          <w:rFonts w:asciiTheme="minorHAnsi" w:hAnsiTheme="minorHAnsi"/>
          <w:b/>
          <w:bCs/>
          <w:strike/>
          <w:color w:val="00B050"/>
          <w:sz w:val="24"/>
        </w:rPr>
      </w:pPr>
    </w:p>
    <w:p w14:paraId="7E16D690" w14:textId="77777777" w:rsidR="00062F26" w:rsidRDefault="00062F26" w:rsidP="004F3430">
      <w:pPr>
        <w:ind w:firstLine="0"/>
        <w:jc w:val="both"/>
        <w:rPr>
          <w:rFonts w:asciiTheme="minorHAnsi" w:hAnsiTheme="minorHAnsi"/>
          <w:b/>
          <w:bCs/>
          <w:strike/>
          <w:color w:val="00B050"/>
          <w:sz w:val="24"/>
        </w:rPr>
      </w:pPr>
    </w:p>
    <w:p w14:paraId="4D325031" w14:textId="77777777" w:rsidR="00062F26" w:rsidRDefault="00062F26" w:rsidP="004F3430">
      <w:pPr>
        <w:ind w:firstLine="0"/>
        <w:jc w:val="both"/>
        <w:rPr>
          <w:rFonts w:asciiTheme="minorHAnsi" w:hAnsiTheme="minorHAnsi"/>
          <w:b/>
          <w:bCs/>
          <w:strike/>
          <w:color w:val="00B050"/>
          <w:sz w:val="24"/>
        </w:rPr>
      </w:pPr>
    </w:p>
    <w:p w14:paraId="6337F7E7" w14:textId="77777777" w:rsidR="00994597" w:rsidRPr="00062F26" w:rsidRDefault="00994597" w:rsidP="00994597">
      <w:pPr>
        <w:ind w:firstLine="0"/>
        <w:jc w:val="both"/>
        <w:rPr>
          <w:rFonts w:asciiTheme="minorHAnsi" w:hAnsiTheme="minorHAnsi"/>
          <w:b/>
          <w:strike/>
          <w:color w:val="00B050"/>
          <w:sz w:val="24"/>
        </w:rPr>
      </w:pPr>
    </w:p>
    <w:p w14:paraId="752E41E4" w14:textId="77777777" w:rsidR="00195334" w:rsidRPr="00062F26" w:rsidRDefault="00195334" w:rsidP="00994597">
      <w:pPr>
        <w:ind w:firstLine="0"/>
        <w:jc w:val="both"/>
        <w:rPr>
          <w:rFonts w:asciiTheme="minorHAnsi" w:hAnsiTheme="minorHAnsi"/>
          <w:b/>
          <w:strike/>
          <w:color w:val="00B050"/>
          <w:sz w:val="24"/>
        </w:rPr>
      </w:pPr>
    </w:p>
    <w:sectPr w:rsidR="00195334" w:rsidRPr="00062F26">
      <w:headerReference w:type="default" r:id="rId6"/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D6F4" w14:textId="77777777" w:rsidR="00E212AD" w:rsidRDefault="00E212AD" w:rsidP="00994597">
      <w:r>
        <w:separator/>
      </w:r>
    </w:p>
  </w:endnote>
  <w:endnote w:type="continuationSeparator" w:id="0">
    <w:p w14:paraId="70B44CF4" w14:textId="77777777" w:rsidR="00E212AD" w:rsidRDefault="00E212AD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8A" w14:textId="15531BC4" w:rsidR="00854528" w:rsidRDefault="0085452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5CE7C0" wp14:editId="42463F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CF493" w14:textId="709F7461" w:rsidR="00854528" w:rsidRPr="00854528" w:rsidRDefault="00854528">
                          <w:pPr>
                            <w:rPr>
                              <w:rFonts w:eastAsia="Calibri" w:cs="Calibri"/>
                              <w:noProof/>
                              <w:color w:val="008000"/>
                            </w:rPr>
                          </w:pPr>
                          <w:r w:rsidRPr="00854528">
                            <w:rPr>
                              <w:rFonts w:eastAsia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CE7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DDCF493" w14:textId="709F7461" w:rsidR="00854528" w:rsidRPr="00854528" w:rsidRDefault="00854528">
                    <w:pPr>
                      <w:rPr>
                        <w:rFonts w:eastAsia="Calibri" w:cs="Calibri"/>
                        <w:noProof/>
                        <w:color w:val="008000"/>
                      </w:rPr>
                    </w:pPr>
                    <w:r w:rsidRPr="00854528">
                      <w:rPr>
                        <w:rFonts w:eastAsia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D323" w14:textId="3D6BED48" w:rsidR="00854528" w:rsidRDefault="0085452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7ABB58" wp14:editId="225F36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401E" w14:textId="4C20B1C3" w:rsidR="00854528" w:rsidRPr="00854528" w:rsidRDefault="00854528">
                          <w:pPr>
                            <w:rPr>
                              <w:rFonts w:eastAsia="Calibri" w:cs="Calibri"/>
                              <w:noProof/>
                              <w:color w:val="008000"/>
                            </w:rPr>
                          </w:pPr>
                          <w:r w:rsidRPr="00854528">
                            <w:rPr>
                              <w:rFonts w:eastAsia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ABB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DD8401E" w14:textId="4C20B1C3" w:rsidR="00854528" w:rsidRPr="00854528" w:rsidRDefault="00854528">
                    <w:pPr>
                      <w:rPr>
                        <w:rFonts w:eastAsia="Calibri" w:cs="Calibri"/>
                        <w:noProof/>
                        <w:color w:val="008000"/>
                      </w:rPr>
                    </w:pPr>
                    <w:r w:rsidRPr="00854528">
                      <w:rPr>
                        <w:rFonts w:eastAsia="Calibri" w:cs="Calibri"/>
                        <w:noProof/>
                        <w:color w:val="008000"/>
                      </w:rPr>
                      <w:t xml:space="preserve">    </w:t>
                    </w:r>
                    <w:r w:rsidRPr="00854528">
                      <w:rPr>
                        <w:rFonts w:eastAsia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02E7" w14:textId="77777777" w:rsidR="00E212AD" w:rsidRDefault="00E212AD" w:rsidP="00994597">
      <w:r>
        <w:separator/>
      </w:r>
    </w:p>
  </w:footnote>
  <w:footnote w:type="continuationSeparator" w:id="0">
    <w:p w14:paraId="3E57B856" w14:textId="77777777" w:rsidR="00E212AD" w:rsidRDefault="00E212AD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4AC7" w14:textId="77777777"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97"/>
    <w:rsid w:val="00033DA3"/>
    <w:rsid w:val="00062F26"/>
    <w:rsid w:val="000C66B3"/>
    <w:rsid w:val="00195334"/>
    <w:rsid w:val="00202A1E"/>
    <w:rsid w:val="00266442"/>
    <w:rsid w:val="0029715A"/>
    <w:rsid w:val="0030684C"/>
    <w:rsid w:val="003C1675"/>
    <w:rsid w:val="00484DD0"/>
    <w:rsid w:val="004B722B"/>
    <w:rsid w:val="004F3430"/>
    <w:rsid w:val="005810DF"/>
    <w:rsid w:val="005B7D64"/>
    <w:rsid w:val="0065423F"/>
    <w:rsid w:val="0065722B"/>
    <w:rsid w:val="00751ECA"/>
    <w:rsid w:val="00854528"/>
    <w:rsid w:val="008903E8"/>
    <w:rsid w:val="00975414"/>
    <w:rsid w:val="00994597"/>
    <w:rsid w:val="009A0829"/>
    <w:rsid w:val="009B65FE"/>
    <w:rsid w:val="00A77910"/>
    <w:rsid w:val="00A86999"/>
    <w:rsid w:val="00AB5B0D"/>
    <w:rsid w:val="00AC0FBC"/>
    <w:rsid w:val="00C7086C"/>
    <w:rsid w:val="00C7298E"/>
    <w:rsid w:val="00E212AD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E9704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Vacíková Jana</dc:creator>
  <cp:lastModifiedBy>Vacíková Jana</cp:lastModifiedBy>
  <cp:revision>3</cp:revision>
  <cp:lastPrinted>2015-11-11T09:03:00Z</cp:lastPrinted>
  <dcterms:created xsi:type="dcterms:W3CDTF">2025-03-25T16:30:00Z</dcterms:created>
  <dcterms:modified xsi:type="dcterms:W3CDTF">2025-05-30T10:21:00Z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2024-12-18T14:57:12Z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f47cdc7c-73eb-4be1-837a-de75dcace8db</vt:lpwstr>
  </property>
  <property fmtid="{D5CDD505-2E9C-101B-9397-08002B2CF9AE}" pid="11" name="MSIP_Label_54743a8a-75f7-4ac9-9741-a35bd0337f21_ContentBits">
    <vt:lpwstr>2</vt:lpwstr>
  </property>
</Properties>
</file>