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>ZMLUVA O DIELO č………….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uzatvorená podľa § 536 a nasl. Obchodného zákonníka č. 513/1991 Zb. v znení neskorších predpisov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(ďalej len </w:t>
      </w:r>
      <w:r>
        <w:rPr>
          <w:rFonts w:cs="Calibri" w:ascii="Calibri" w:hAnsi="Calibri" w:asciiTheme="minorHAnsi" w:cstheme="minorHAnsi" w:hAnsiTheme="minorHAnsi"/>
          <w:i/>
          <w:iCs/>
          <w:sz w:val="20"/>
          <w:szCs w:val="20"/>
        </w:rPr>
        <w:t>,,zmluva“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)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medzi zmluvnými stranami: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>Zhotoviteľ: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 xml:space="preserve">Názov: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Sídlo: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IČO: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DIČ: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Zapísaný v: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Štatutárny orgán: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Zodpovedná osoba: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email: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Bankové spojenie: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IBAN: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(ďalej len </w:t>
      </w:r>
      <w:r>
        <w:rPr>
          <w:rFonts w:cs="Calibri" w:ascii="Calibri" w:hAnsi="Calibri" w:asciiTheme="minorHAnsi" w:cstheme="minorHAnsi" w:hAnsiTheme="minorHAnsi"/>
          <w:i/>
          <w:iCs/>
          <w:sz w:val="20"/>
          <w:szCs w:val="20"/>
        </w:rPr>
        <w:t>„Zhotoviteľ“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)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/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a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 xml:space="preserve">Objednávateľ: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 xml:space="preserve">Názov: </w:t>
      </w:r>
      <w:r>
        <w:rPr>
          <w:rFonts w:eastAsia="Calibri" w:cs="Calibri" w:ascii="Calibri" w:hAnsi="Calibri" w:cstheme="minorHAnsi"/>
          <w:b/>
          <w:bCs/>
          <w:i/>
          <w:iCs/>
          <w:color w:val="000000"/>
          <w:kern w:val="0"/>
          <w:sz w:val="24"/>
          <w:szCs w:val="24"/>
          <w:lang w:val="sk-SK" w:eastAsia="en-US" w:bidi="ar-SA"/>
        </w:rPr>
        <w:t>OZ Malokarpatský región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Sídlo: 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</w:rPr>
        <w:t>Hlavna 168, 900 89 Častá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IČO: </w:t>
      </w:r>
      <w:r>
        <w:rPr>
          <w:rFonts w:cs="Calibri" w:ascii="Calibri" w:hAnsi="Calibri" w:asciiTheme="minorHAnsi" w:cstheme="minorHAnsi" w:hAnsiTheme="minorHAnsi"/>
          <w:b/>
          <w:i/>
          <w:color w:val="000000"/>
          <w:sz w:val="20"/>
          <w:szCs w:val="20"/>
        </w:rPr>
        <w:t>42364892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DIČ: 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</w:rPr>
        <w:t>2120078928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Štatutárny orgán:</w:t>
      </w: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 xml:space="preserve"> </w:t>
      </w:r>
      <w:r>
        <w:rPr>
          <w:rFonts w:eastAsia="Calibri" w:cs="Calibri" w:ascii="Calibri" w:hAnsi="Calibri" w:cstheme="minorHAnsi"/>
          <w:b/>
          <w:bCs/>
          <w:i/>
          <w:iCs/>
          <w:color w:val="000000"/>
          <w:kern w:val="0"/>
          <w:sz w:val="24"/>
          <w:szCs w:val="24"/>
          <w:lang w:val="sk-SK" w:eastAsia="en-US" w:bidi="ar-SA"/>
        </w:rPr>
        <w:t>Ing. Ivan Patoprstý</w:t>
        <w:tab/>
        <w:tab/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email: 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</w:rPr>
        <w:t>info@malokarpatskyregion.sk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Bankové spojenie: 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</w:rPr>
        <w:t>Slovenská sporiteľňa a.s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IBAN:</w:t>
      </w: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 xml:space="preserve"> SK23 0900 0000 0051 6911 6300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(ďalej len </w:t>
      </w:r>
      <w:r>
        <w:rPr>
          <w:rFonts w:cs="Calibri" w:ascii="Calibri" w:hAnsi="Calibri" w:asciiTheme="minorHAnsi" w:cstheme="minorHAnsi" w:hAnsiTheme="minorHAnsi"/>
          <w:i/>
          <w:iCs/>
          <w:sz w:val="20"/>
          <w:szCs w:val="20"/>
        </w:rPr>
        <w:t>„Objednávateľ“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)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(Objednávateľ a Zhotoviteľ ďalej spolu aj len </w:t>
      </w:r>
      <w:r>
        <w:rPr>
          <w:rFonts w:cs="Calibri" w:ascii="Calibri" w:hAnsi="Calibri" w:asciiTheme="minorHAnsi" w:cstheme="minorHAnsi" w:hAnsiTheme="minorHAnsi"/>
          <w:i/>
          <w:iCs/>
          <w:sz w:val="20"/>
          <w:szCs w:val="20"/>
        </w:rPr>
        <w:t>,,Zmluvné strany“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) 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cstheme="minorHAnsi" w:ascii="Calibri" w:hAnsi="Calibri"/>
          <w:b/>
          <w:bCs/>
          <w:sz w:val="20"/>
          <w:szCs w:val="20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>I.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>Úvodné ustanovenia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Default"/>
        <w:spacing w:before="0" w:after="18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Cs/>
          <w:sz w:val="20"/>
          <w:szCs w:val="20"/>
        </w:rPr>
        <w:t xml:space="preserve">1.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Účelom tejto zmluvy je úprava vzájomných práv a povinností Zmluvných strán pri vytvorení a dodaní diela špecifikovaného v zmluve Objednávateľovi za podmienok stanovených touto zmluvou a za dojednanú odplatu pre Zhotoviteľa. </w:t>
      </w:r>
    </w:p>
    <w:p>
      <w:pPr>
        <w:pStyle w:val="Default"/>
        <w:spacing w:before="0" w:after="18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Cs/>
          <w:sz w:val="20"/>
          <w:szCs w:val="20"/>
        </w:rPr>
        <w:t xml:space="preserve">2.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Objednávateľ má záujem o propagáciu obcí na území MAS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Malokarpatský región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v 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</w:rPr>
        <w:t>rámci projektu „</w:t>
      </w:r>
      <w:r>
        <w:rPr>
          <w:rFonts w:eastAsia="Times New Roman" w:cs="Times New Roman" w:ascii="Calibri" w:hAnsi="Calibri"/>
          <w:b/>
          <w:color w:val="000000"/>
          <w:kern w:val="0"/>
          <w:sz w:val="22"/>
          <w:szCs w:val="22"/>
          <w:lang w:val="sk-SK" w:eastAsia="en-US" w:bidi="ar-SA"/>
        </w:rPr>
        <w:t>Činnosť a aktivity MAS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</w:rPr>
        <w:t>“, kód projektu NFP</w:t>
      </w:r>
      <w:r>
        <w:rPr>
          <w:rFonts w:eastAsia="Times New Roman" w:cs="Times New Roman" w:ascii="Calibri" w:hAnsi="Calibri"/>
          <w:b/>
          <w:color w:val="000000"/>
          <w:kern w:val="0"/>
          <w:sz w:val="22"/>
          <w:szCs w:val="22"/>
          <w:lang w:val="sk-SK" w:eastAsia="en-US" w:bidi="ar-SA"/>
        </w:rPr>
        <w:t>309190Q920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prostredníctvom vytvorenia 3D virtuálnych prehliadok na území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Malokarpatského regiónu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</w:t>
      </w:r>
    </w:p>
    <w:p>
      <w:pPr>
        <w:pStyle w:val="Default"/>
        <w:spacing w:before="0" w:after="18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Cs/>
          <w:sz w:val="20"/>
          <w:szCs w:val="20"/>
        </w:rPr>
        <w:t xml:space="preserve">3.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Zhotoviteľ má záujem za dojednanú odplatu vykonať dielo pre Objednávateľa.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Cs/>
          <w:sz w:val="20"/>
          <w:szCs w:val="20"/>
        </w:rPr>
        <w:t xml:space="preserve">4.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Zmluvné strany prehlasujú, že sú spôsobilé túto zmluvu uzatvoriť a riadne plniť záväzky v nej obsiahnuté. 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cstheme="minorHAnsi" w:ascii="Calibri" w:hAnsi="Calibri"/>
          <w:b/>
          <w:bCs/>
          <w:sz w:val="20"/>
          <w:szCs w:val="20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>II.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>Predmet zmluvy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Default"/>
        <w:spacing w:before="0" w:after="23"/>
        <w:jc w:val="both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1. Predmetom tejto zmluvy je záväzok Zhotoviteľa dodať pre Objednávateľa dielo s názvom: </w:t>
      </w:r>
      <w:r>
        <w:rPr>
          <w:rFonts w:cs="Calibri" w:ascii="Calibri" w:hAnsi="Calibri" w:asciiTheme="minorHAnsi" w:cstheme="minorHAnsi" w:hAnsiTheme="minorHAnsi"/>
          <w:b/>
          <w:i/>
          <w:iCs/>
          <w:sz w:val="20"/>
          <w:szCs w:val="20"/>
        </w:rPr>
        <w:t>„Propagácia územia MAS prostredníctvom prezentácií vo virtuálnom priestore</w:t>
      </w:r>
      <w:r>
        <w:rPr>
          <w:rFonts w:cs="Calibri" w:ascii="Calibri" w:hAnsi="Calibri" w:asciiTheme="minorHAnsi" w:cstheme="minorHAnsi" w:hAnsiTheme="minorHAnsi"/>
          <w:b/>
          <w:bCs/>
          <w:iCs/>
          <w:sz w:val="20"/>
          <w:szCs w:val="20"/>
        </w:rPr>
        <w:t>“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</w:rPr>
        <w:t xml:space="preserve">. </w:t>
      </w:r>
    </w:p>
    <w:p>
      <w:pPr>
        <w:pStyle w:val="Default"/>
        <w:spacing w:before="0" w:after="23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2. V rámci tejto zmluvy o dielo budú vytvorené virtuálne prehliadk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y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objektov definovaných v prílohe č. 1 tejto zmluvy,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ktorá je totožná so špecifikáciou zákazky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.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3. Zhotoviteľ vykoná pre Objednávateľa dielo vo vlastnom mene, na vlastnú zodpovednosť a za podmienok dojednaných v tejto zmluve.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4. Objednávateľ sa zaväzuje dielo od Zhotoviteľa prevziať v dohodnutom termíne, zaplatiť za dielo dohodnutú cenu a poskytnúť Zhotoviteľovi všetku potrebnú súčinnosť pre plnenie tejto zmluvy.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cstheme="minorHAnsi" w:ascii="Calibri" w:hAnsi="Calibri"/>
          <w:b/>
          <w:bCs/>
          <w:sz w:val="20"/>
          <w:szCs w:val="20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cstheme="minorHAnsi" w:ascii="Calibri" w:hAnsi="Calibri"/>
          <w:b/>
          <w:bCs/>
          <w:sz w:val="20"/>
          <w:szCs w:val="20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>III.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>Termín plnenia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Default"/>
        <w:spacing w:before="0" w:after="34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1. Zhotoviteľ sa zaväzuje vykonať dielo v lehote do 3 mesiacov od nadobudnutia účinnosti tejto zmluvy.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2. Výsledkom činnosti Zhotoviteľa budú virtuálne prehliadky  z územia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Malokarpatského regiónu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 umiestnené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v Google Maps. 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>IV.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>Cena diela a platobné podmienky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1. Cena za vykonanie diela Zhotoviteľom je určená na základe prieskumu trhu v súlade s </w:t>
      </w:r>
      <w:r>
        <w:rPr>
          <w:rFonts w:cs="Calibri" w:ascii="Calibri" w:hAnsi="Calibri" w:asciiTheme="minorHAnsi" w:cstheme="minorHAnsi" w:hAnsiTheme="minorHAnsi"/>
          <w:bCs/>
          <w:sz w:val="20"/>
          <w:szCs w:val="20"/>
        </w:rPr>
        <w:t>Usmernením Pôdohospodárskej platobnej agentúry č. 8/2017 k obstarávaniu tovarov, stavebných prác a služieb financovaných z PRV SR 2014 – 2020 platným v čase zadávania zákazky-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</w:rPr>
        <w:t>celková výška zákazky je  ……….,- EUR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(slovom ………………………….. eur).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Bližšia špecifikácia rozsahu diela je definovaná v prílohe č. 1, ktorá tvorí nedeliteľnú súčasť tejto zmluvy.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2. Cena za vykonanie diela podľa podmienok tejto zmluvy je stanovená na základe počtu virtuálnych bodov virtuálnych prehliadok, ktoré sú určené v prílohe č. 1.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3. Objednávateľ sa zaväzuje uhradiť Zhotoviteľovi cenu za vykonanie diela v dvoch rovnakých splátkach na základe faktúr vystavených Zhotoviteľom v lehote do 14 dní odo dňa ich vystavenia, pričom prvá faktúra bude vystavená po realizácii polovice fotografických prác a druhá faktúra po dokončení fotografických prác Zhotoviteľom.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auto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4. Faktúry vystavené Zhotoviteľom musia obsahovať povinné náležitosti daňového dokladu a to: označenie faktúry a jej číslo, názov a sídlo zmluvných strán, IČO, DIČ, číslo zmluvy, opis vykonaného diela a deň odovzdania diela, deň vystavenia a odoslania faktúry, deň splatnosti faktúry, označenie bankového spojenia zhotoviteľa a číslo účtu,  podpis oprávnenej osoby,</w:t>
      </w:r>
      <w:r>
        <w:rPr>
          <w:rFonts w:cs="Calibri" w:ascii="Calibri" w:hAnsi="Calibri" w:asciiTheme="minorHAnsi" w:cstheme="minorHAnsi" w:hAnsiTheme="minorHAnsi"/>
          <w:bCs/>
          <w:color w:val="FF0000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bCs/>
          <w:color w:val="auto"/>
          <w:sz w:val="20"/>
          <w:szCs w:val="20"/>
        </w:rPr>
        <w:t xml:space="preserve">názov projektu a Kód projektu podľa pokynov objednávateľa.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5. Objednávateľ zaplatí Zhotoviteľovi dohodnutú odmenu bezhotovostným prevodom na bankový účet Zhotoviteľa uvedený v záhlaví tejto zmluvy. Odmena sa považuje za uhradenú jej pripísaním na účet Zhotoviteľa. Zmenu bankových údajov v priebehu trvania tejto zmluvy Zhotoviteľ oznámi Objednávateľovi písomne alebo na e-mailovú adresu uvedenú v záhlaví tejto zmluvy. 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cstheme="minorHAnsi" w:ascii="Calibri" w:hAnsi="Calibri"/>
          <w:b/>
          <w:bCs/>
          <w:sz w:val="20"/>
          <w:szCs w:val="20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>V.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>Práva a povinnosti Zmluvných strán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Default"/>
        <w:spacing w:before="0" w:after="18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1. Objednávateľ je povinný poskytovať Zhotoviteľovi súčinnosť potrebnú pre plnenie predmetu tejto zmluvy a to hlavne sprístupniť všetky priestory a objekty, ktoré majú byť predmetom diela. </w:t>
      </w:r>
    </w:p>
    <w:p>
      <w:pPr>
        <w:pStyle w:val="Default"/>
        <w:spacing w:before="0" w:after="18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2. Objednávateľ sa zaväzuje dokončené dielo prevziať a za dielo zaplatiť Zhotoviteľovi dojednanú cenu podľa článku IV. tejto zmluvy. </w:t>
      </w:r>
    </w:p>
    <w:p>
      <w:pPr>
        <w:pStyle w:val="Default"/>
        <w:spacing w:before="0" w:after="18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3. Zhotoviteľ sa zaväzuje, že vykoná dielo s odbornou starostlivosťou riadne a včas podľa tejto zmluvy.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4. Zhotoviteľ nezodpovedá za omeškanie s plnením povinností podľa tejto zmluvy v prípadoch výskytu okolností vyššej moci, okolností vylučujúcich zodpovednosť, ak omeškanie bolo spôsobené porušením povinností Objednávateľa, jeho zamestnancov alebo poverených zástupcov, alebo neposkytnutím potrebnej súčinnosti zo strany Objednávateľa. V takýchto prípadoch sa lehota na plnenie povinností Zhotoviteľa primerane predlžuje o čas trvania týchto prekážok. </w:t>
      </w:r>
    </w:p>
    <w:p>
      <w:pPr>
        <w:pStyle w:val="Default"/>
        <w:spacing w:before="0" w:after="2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6. Zhotoviteľ nezodpovedá za nemožnosť dokončenia diela alebo za vady diela spôsobené nevhodnými podkladmi alebo pokynmi Objednávateľa, ak Zhotoviteľ na ich nevhodnú povahu Objednávateľa upozornil a Objednávateľ na ich použití pri vykonaní diela trval. Ak nevhodné podklady alebo pokyny prekážajú v riadnom vykonávaní diela, je Zhotoviteľ oprávnený jeho vykonávanie v nevyhnutnom rozsahu prerušiť do doby poskytnutia nezávadných podkladov alebo pokynov alebo do písomného oznámenia Objednávateľa, že na vykonaní diela trvá. O dobu, po ktorú bolo potrebné vykonávanie diela prerušiť, sa predlžuje lehota na jeho dokončenie.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C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Cs/>
          <w:sz w:val="20"/>
          <w:szCs w:val="20"/>
        </w:rPr>
        <w:t>7. Zhotoviteľ vytvorí virtuálne body v častiach interiérov a exteriérov priestorov Objednávateľa, ktoré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C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Cs/>
          <w:sz w:val="20"/>
          <w:szCs w:val="20"/>
        </w:rPr>
        <w:t>Objednávateľ vybral ako vhodné pre virtuálne prehliadky s umiestnením na Google Maps a ktorých počet je uvedený v prílohe č. 1. tejto zmluvy.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C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Cs/>
          <w:sz w:val="20"/>
          <w:szCs w:val="20"/>
        </w:rPr>
        <w:t>8. Zhotoviteľ zabezpečí, že virtuálne body splnia technické požiadavky pre umiestnenie virtuálnej prehliadky na Google Maps.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C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Cs/>
          <w:sz w:val="20"/>
          <w:szCs w:val="20"/>
        </w:rPr>
        <w:t>9. Zhotoviteľ nahrá virtuálne body na servery spoločnosti Google pre spracovanie a použitie v súlade s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C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Cs/>
          <w:sz w:val="20"/>
          <w:szCs w:val="20"/>
        </w:rPr>
        <w:t>podmienkami uvedenými nižšie podľa článku VI.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Cs/>
          <w:color w:val="auto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auto"/>
          <w:sz w:val="20"/>
          <w:szCs w:val="20"/>
        </w:rPr>
        <w:t>10.Zmluvné strany súhlasia, aby</w:t>
      </w:r>
      <w:r>
        <w:rPr>
          <w:rFonts w:cs="Calibri" w:ascii="Calibri" w:hAnsi="Calibri" w:asciiTheme="minorHAnsi" w:cstheme="minorHAnsi" w:hAnsiTheme="minorHAnsi"/>
          <w:b w:val="false"/>
          <w:bCs w:val="false"/>
          <w:color w:val="auto"/>
          <w:sz w:val="20"/>
          <w:szCs w:val="20"/>
        </w:rPr>
        <w:t xml:space="preserve"> o</w:t>
      </w:r>
      <w:r>
        <w:rPr>
          <w:rFonts w:cs="Calibri" w:ascii="Calibri" w:hAnsi="Calibri" w:asciiTheme="minorHAnsi" w:cstheme="minorHAnsi" w:hAnsiTheme="minorHAnsi"/>
          <w:b w:val="false"/>
          <w:bCs w:val="false"/>
          <w:color w:val="auto"/>
          <w:sz w:val="20"/>
          <w:szCs w:val="20"/>
        </w:rPr>
        <w:t>právnení zamestnanci poskytovateľa, MPRV SR, orgánov Európskej únie a ďalšie oprávnené osoby v súlade s právnymi predpismi SR a EÚ môžu vykonávať voči dodávateľovi kontrolu/audit obchodných dokumentov a vecnú kontrolu v súvislosti s realizáciou zákazky a dodávateľ je povinný poskytnúť súčinnosť v plnej miere.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cstheme="minorHAnsi" w:ascii="Calibri" w:hAnsi="Calibri"/>
          <w:b/>
          <w:bCs/>
          <w:sz w:val="20"/>
          <w:szCs w:val="20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>VI.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>Zmluvné podmienky týkajúce sa nahrávania a spracovania virtuálnych bodov pre umiestnenie na serveroch spoločnosti Google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Cs/>
          <w:sz w:val="20"/>
          <w:szCs w:val="20"/>
        </w:rPr>
      </w:pPr>
      <w:r>
        <w:rPr>
          <w:rFonts w:cs="Calibri" w:cstheme="minorHAnsi" w:ascii="Calibri" w:hAnsi="Calibri"/>
          <w:bCs/>
          <w:sz w:val="20"/>
          <w:szCs w:val="20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C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Cs/>
          <w:sz w:val="20"/>
          <w:szCs w:val="20"/>
        </w:rPr>
        <w:t>1. Objednávateľ súhlasí s tým, že sa bude nahrávanie, spracovanie a použitie virtuálnych bodov riadiť štandardnými online zmluvnými podmienkami spoločnosti Google pre takéto virtuálne body (www.google.com/intl/cs-cz/policies/terms), prípadne dodatočnými zmluvnými podmienkami, ktoré môže spoločnosť Google stanoviť.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C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Cs/>
          <w:sz w:val="20"/>
          <w:szCs w:val="20"/>
        </w:rPr>
        <w:t>2. Objednávateľ týmto udeľuje Zhotoviteľovi oprávnenie nahrať virtuálne body na servery Google menom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C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Cs/>
          <w:sz w:val="20"/>
          <w:szCs w:val="20"/>
        </w:rPr>
        <w:t>Objednávateľa a udeľuje spoločnosti Google licenciu na použitie virtuálnych bodov v súlade so zmluvnými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C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Cs/>
          <w:sz w:val="20"/>
          <w:szCs w:val="20"/>
        </w:rPr>
        <w:t>podmienkami spoločnosti Google.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cstheme="minorHAnsi" w:ascii="Calibri" w:hAnsi="Calibri"/>
          <w:b/>
          <w:bCs/>
          <w:sz w:val="20"/>
          <w:szCs w:val="20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>VII.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>Odovzdanie diela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Default"/>
        <w:spacing w:before="0" w:after="21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Cs/>
          <w:sz w:val="20"/>
          <w:szCs w:val="20"/>
        </w:rPr>
        <w:t xml:space="preserve">1.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Zhotoviteľ sa zaväzuje vykonať a odovzdať dielo Objednávateľovi v termíne odovzdania diela podľa čl. III. bodu 1 tejto zmluvy. </w:t>
      </w:r>
    </w:p>
    <w:p>
      <w:pPr>
        <w:pStyle w:val="Default"/>
        <w:spacing w:before="0" w:after="21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Cs/>
          <w:sz w:val="20"/>
          <w:szCs w:val="20"/>
        </w:rPr>
        <w:t xml:space="preserve">2.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Zhotoviteľ je oprávnený odovzdať dielo Objednávateľovi aj v skoršom termíne. </w:t>
      </w:r>
    </w:p>
    <w:p>
      <w:pPr>
        <w:pStyle w:val="Default"/>
        <w:spacing w:before="0" w:after="21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Cs/>
          <w:sz w:val="20"/>
          <w:szCs w:val="20"/>
        </w:rPr>
        <w:t xml:space="preserve">3.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Zhotoviteľ odovzdá Objednávateľovi virtuálne prehliadky vo forme online dostupného internetového odkazu, čím bude dielo v celom rozsahu vykonané.</w:t>
      </w:r>
    </w:p>
    <w:p>
      <w:pPr>
        <w:pStyle w:val="Default"/>
        <w:spacing w:before="0" w:after="21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Cs/>
          <w:sz w:val="20"/>
          <w:szCs w:val="20"/>
        </w:rPr>
        <w:t xml:space="preserve">4.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Objednávateľ sa zaväzuje dielo od Zhotoviteľa prevziať v súlade s podmienkami tejto zmluvy. </w:t>
      </w:r>
    </w:p>
    <w:p>
      <w:pPr>
        <w:pStyle w:val="Default"/>
        <w:spacing w:before="0" w:after="21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Cs/>
          <w:sz w:val="20"/>
          <w:szCs w:val="20"/>
        </w:rPr>
        <w:t xml:space="preserve">5.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Termín, miesto a čas odovzdania diela oznámi Zhotoviteľ Objednávateľovi písomne, e-mailom alebo telefonicky spravidla aspoň 3 dni pred navrhovaným termínom odovzdania diela. Objednávateľ je povinný zúčastniť sa odovzdania diela v Zhotoviteľom navrhovanom termíne, ak sa Zmluvné strany osobitne nedohodnú inak. </w:t>
      </w:r>
    </w:p>
    <w:p>
      <w:pPr>
        <w:pStyle w:val="Default"/>
        <w:spacing w:before="0" w:after="21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Cs/>
          <w:sz w:val="20"/>
          <w:szCs w:val="20"/>
        </w:rPr>
        <w:t xml:space="preserve">6.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Odovzdanie a prevzatie diela Zmluvné strany potvrdia podpisom preberacieho protokolu. </w:t>
      </w:r>
    </w:p>
    <w:p>
      <w:pPr>
        <w:pStyle w:val="Default"/>
        <w:spacing w:before="0" w:after="21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Cs/>
          <w:sz w:val="20"/>
          <w:szCs w:val="20"/>
        </w:rPr>
        <w:t xml:space="preserve">7.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Odovzdaním diela a podpisom preberacieho protokolu sa dielo bude považovať za vykonané a jeho predmet za odovzdaný Objednávateľovi v súlade s touto zmluvou. Objednávateľ je povinný prevziať dielo od Zhotoviteľa aj po častiach. </w:t>
      </w:r>
    </w:p>
    <w:p>
      <w:pPr>
        <w:pStyle w:val="Default"/>
        <w:spacing w:before="0" w:after="21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Cs/>
          <w:sz w:val="20"/>
          <w:szCs w:val="20"/>
        </w:rPr>
        <w:t xml:space="preserve">8.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Ak si Objednávateľ nesplní svoju povinnosť prevziať dielo v stanovenom termíne, najmä ak sa Objednávateľ nezúčastní odovzdania diela, alebo ak Objednávateľ odmietne dielo nevykazujúce podstatné vady a nedorobky prevziať alebo podpísať preberací protokol, považuje sa dielo za odovzdané Objednávateľovi v súlade s touto zmluvou dňom, kedy sa malo uskutočniť podľa výzvy Zhotoviteľa odovzdanie diela Objednávateľovi. </w:t>
      </w:r>
    </w:p>
    <w:p>
      <w:pPr>
        <w:pStyle w:val="Default"/>
        <w:spacing w:before="0" w:after="21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Cs/>
          <w:sz w:val="20"/>
          <w:szCs w:val="20"/>
        </w:rPr>
        <w:t xml:space="preserve">9.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Objednávateľ je povinný dielo prevziať aj s vadami a nedorobkami, ktoré nebránia riadnemu užívaniu diela, tým nie je dotknutá povinnosť Zhotoviteľa tieto riadne odstrániť.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Cs/>
          <w:sz w:val="20"/>
          <w:szCs w:val="20"/>
        </w:rPr>
        <w:t xml:space="preserve">10.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Dispozičné právo k dielu prechádza na Objednávateľa až úplným zaplatením dojednanej ceny diela podľa čl. IV. tejto zmluvy.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eastAsia="Times New Roman" w:cs="Calibri" w:cstheme="minorHAnsi"/>
          <w:b/>
          <w:b/>
          <w:bCs/>
          <w:sz w:val="20"/>
          <w:szCs w:val="20"/>
          <w:lang w:eastAsia="sk-SK"/>
        </w:rPr>
      </w:pPr>
      <w:r>
        <w:rPr>
          <w:rFonts w:eastAsia="Times New Roman" w:cs="Calibri" w:cstheme="minorHAnsi"/>
          <w:b/>
          <w:bCs/>
          <w:sz w:val="20"/>
          <w:szCs w:val="20"/>
          <w:lang w:eastAsia="sk-SK"/>
        </w:rPr>
        <w:t>VIII.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eastAsia="Times New Roman" w:cs="Calibri" w:cstheme="minorHAnsi"/>
          <w:b/>
          <w:b/>
          <w:bCs/>
          <w:sz w:val="20"/>
          <w:szCs w:val="20"/>
          <w:lang w:eastAsia="sk-SK"/>
        </w:rPr>
      </w:pPr>
      <w:r>
        <w:rPr>
          <w:rFonts w:eastAsia="Times New Roman" w:cs="Calibri" w:cstheme="minorHAnsi"/>
          <w:b/>
          <w:bCs/>
          <w:sz w:val="20"/>
          <w:szCs w:val="20"/>
          <w:lang w:eastAsia="sk-SK"/>
        </w:rPr>
        <w:t>Zmluvné pokuty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eastAsia="Times New Roman" w:cs="Calibri" w:cstheme="minorHAnsi"/>
          <w:b/>
          <w:b/>
          <w:bCs/>
          <w:sz w:val="20"/>
          <w:szCs w:val="20"/>
          <w:lang w:eastAsia="sk-SK"/>
        </w:rPr>
      </w:pPr>
      <w:r>
        <w:rPr>
          <w:rFonts w:eastAsia="Times New Roman" w:cs="Calibri" w:cstheme="minorHAnsi"/>
          <w:b/>
          <w:bCs/>
          <w:sz w:val="20"/>
          <w:szCs w:val="20"/>
          <w:lang w:eastAsia="sk-SK"/>
        </w:rPr>
      </w:r>
    </w:p>
    <w:p>
      <w:pPr>
        <w:pStyle w:val="Default"/>
        <w:jc w:val="both"/>
        <w:rPr>
          <w:rFonts w:ascii="Calibri" w:hAnsi="Calibri" w:eastAsia="Times New Roman" w:cs="Calibri" w:asciiTheme="minorHAnsi" w:cstheme="minorHAnsi" w:hAnsiTheme="minorHAnsi"/>
          <w:sz w:val="20"/>
          <w:szCs w:val="20"/>
          <w:lang w:eastAsia="sk-SK"/>
        </w:rPr>
      </w:pPr>
      <w:r>
        <w:rPr>
          <w:rFonts w:eastAsia="Times New Roman" w:cs="Calibri" w:ascii="Calibri" w:hAnsi="Calibri" w:asciiTheme="minorHAnsi" w:cstheme="minorHAnsi" w:hAnsiTheme="minorHAnsi"/>
          <w:sz w:val="20"/>
          <w:szCs w:val="20"/>
          <w:lang w:eastAsia="sk-SK"/>
        </w:rPr>
        <w:t>1. Zhotoviteľ zodpovedá za to, že predmet tejto zmluvy podľa čl. II. je zhotovený podľa tejto zmluvy.</w:t>
      </w:r>
    </w:p>
    <w:p>
      <w:pPr>
        <w:pStyle w:val="Default"/>
        <w:jc w:val="both"/>
        <w:rPr>
          <w:rFonts w:ascii="Calibri" w:hAnsi="Calibri" w:eastAsia="Times New Roman" w:cs="Calibri" w:asciiTheme="minorHAnsi" w:cstheme="minorHAnsi" w:hAnsiTheme="minorHAnsi"/>
          <w:sz w:val="20"/>
          <w:szCs w:val="20"/>
          <w:lang w:eastAsia="sk-SK"/>
        </w:rPr>
      </w:pPr>
      <w:r>
        <w:rPr>
          <w:rFonts w:eastAsia="Times New Roman" w:cs="Calibri" w:ascii="Calibri" w:hAnsi="Calibri" w:asciiTheme="minorHAnsi" w:cstheme="minorHAnsi" w:hAnsiTheme="minorHAnsi"/>
          <w:sz w:val="20"/>
          <w:szCs w:val="20"/>
          <w:lang w:eastAsia="sk-SK"/>
        </w:rPr>
        <w:t>2. V prípade, že pri protokolárnom odovzdávaní a preberaní diela objednávateľ zistí, že dielo nie je vyhotovené v zmysle podmienok zmluvy, toto dielo neprevezme, ale spíše so zhotoviteľom zápis, ktorý bude obsahovať zistené nedostatky, lehoty a spôsob ich odstránenia.</w:t>
      </w:r>
    </w:p>
    <w:p>
      <w:pPr>
        <w:pStyle w:val="Default"/>
        <w:jc w:val="both"/>
        <w:rPr>
          <w:rFonts w:ascii="Calibri" w:hAnsi="Calibri" w:eastAsia="Times New Roman" w:cs="Calibri" w:asciiTheme="minorHAnsi" w:cstheme="minorHAnsi" w:hAnsiTheme="minorHAnsi"/>
          <w:sz w:val="20"/>
          <w:szCs w:val="20"/>
          <w:lang w:eastAsia="sk-SK"/>
        </w:rPr>
      </w:pPr>
      <w:r>
        <w:rPr>
          <w:rFonts w:eastAsia="Times New Roman" w:cs="Calibri" w:ascii="Calibri" w:hAnsi="Calibri" w:asciiTheme="minorHAnsi" w:cstheme="minorHAnsi" w:hAnsiTheme="minorHAnsi"/>
          <w:sz w:val="20"/>
          <w:szCs w:val="20"/>
          <w:lang w:eastAsia="sk-SK"/>
        </w:rPr>
        <w:t>3. Zhotoviteľ nezodpovedá za prípadné chyby vo funkčnosti zverejnených virtuálnych prehliadok, prípadne výpadkov na strane spoločnosti Google.</w:t>
      </w:r>
    </w:p>
    <w:p>
      <w:pPr>
        <w:pStyle w:val="Default"/>
        <w:jc w:val="both"/>
        <w:rPr>
          <w:rFonts w:ascii="Calibri" w:hAnsi="Calibri" w:eastAsia="Times New Roman" w:cs="Calibri" w:asciiTheme="minorHAnsi" w:cstheme="minorHAnsi" w:hAnsiTheme="minorHAnsi"/>
          <w:color w:val="auto"/>
          <w:sz w:val="20"/>
          <w:szCs w:val="20"/>
          <w:lang w:eastAsia="sk-SK"/>
        </w:rPr>
      </w:pPr>
      <w:r>
        <w:rPr>
          <w:rFonts w:eastAsia="Times New Roman" w:cs="Calibri" w:ascii="Calibri" w:hAnsi="Calibri" w:asciiTheme="minorHAnsi" w:cstheme="minorHAnsi" w:hAnsiTheme="minorHAnsi"/>
          <w:sz w:val="20"/>
          <w:szCs w:val="20"/>
          <w:lang w:eastAsia="sk-SK"/>
        </w:rPr>
        <w:t xml:space="preserve">4. V prípade omeškania zhotoviteľa s vykonaním objednaného diela, je objednávateľ oprávnený účtovať zhotoviteľovi zmluvnú pokutu vo výške </w:t>
      </w:r>
      <w:r>
        <w:rPr>
          <w:rFonts w:eastAsia="Times New Roman" w:cs="Calibri" w:ascii="Calibri" w:hAnsi="Calibri" w:asciiTheme="minorHAnsi" w:cstheme="minorHAnsi" w:hAnsiTheme="minorHAnsi"/>
          <w:color w:val="auto"/>
          <w:sz w:val="20"/>
          <w:szCs w:val="20"/>
          <w:lang w:eastAsia="sk-SK"/>
        </w:rPr>
        <w:t>50,00 € za každý začatý deň omeškania.</w:t>
      </w:r>
    </w:p>
    <w:p>
      <w:pPr>
        <w:pStyle w:val="Default"/>
        <w:jc w:val="both"/>
        <w:rPr>
          <w:rFonts w:ascii="Calibri" w:hAnsi="Calibri" w:eastAsia="Times New Roman" w:cs="Calibri" w:asciiTheme="minorHAnsi" w:cstheme="minorHAnsi" w:hAnsiTheme="minorHAnsi"/>
          <w:sz w:val="20"/>
          <w:szCs w:val="20"/>
          <w:lang w:eastAsia="sk-SK"/>
        </w:rPr>
      </w:pPr>
      <w:r>
        <w:rPr>
          <w:rFonts w:eastAsia="Times New Roman" w:cs="Calibri" w:ascii="Calibri" w:hAnsi="Calibri" w:asciiTheme="minorHAnsi" w:cstheme="minorHAnsi" w:hAnsiTheme="minorHAnsi"/>
          <w:sz w:val="20"/>
          <w:szCs w:val="20"/>
          <w:lang w:eastAsia="sk-SK"/>
        </w:rPr>
        <w:t>5. V prípade omeškania objednávateľa so zaplatením ceny je zhotoviteľ oprávnený účtovať objednávateľovi úrok z omeškania vo výške 0,05% z fakturovanej ceny za každý začatý deň omeškania.</w:t>
      </w:r>
    </w:p>
    <w:p>
      <w:pPr>
        <w:pStyle w:val="Default"/>
        <w:jc w:val="both"/>
        <w:rPr>
          <w:rFonts w:ascii="Calibri" w:hAnsi="Calibri" w:eastAsia="Times New Roman" w:cs="Calibri" w:asciiTheme="minorHAnsi" w:cstheme="minorHAnsi" w:hAnsiTheme="minorHAnsi"/>
          <w:color w:val="auto"/>
          <w:sz w:val="20"/>
          <w:szCs w:val="20"/>
          <w:lang w:eastAsia="sk-SK"/>
        </w:rPr>
      </w:pPr>
      <w:r>
        <w:rPr>
          <w:rFonts w:eastAsia="Times New Roman" w:cs="Calibri" w:ascii="Calibri" w:hAnsi="Calibri" w:asciiTheme="minorHAnsi" w:cstheme="minorHAnsi" w:hAnsiTheme="minorHAnsi"/>
          <w:color w:val="auto"/>
          <w:sz w:val="20"/>
          <w:szCs w:val="20"/>
          <w:lang w:eastAsia="sk-SK"/>
        </w:rPr>
        <w:t>6. Ak zhotoviteľ neodstráni nedostatky diela v dohodnutom termíne  zaplatí objednávateľovi zmluvnú pokutu vo výške 200,00 eur za každý začatý deň omeškania až do odstránenia vady. Faktúru môže vystaviť objednávateľ za každých 5 začatých dní omeškania.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auto"/>
          <w:sz w:val="20"/>
          <w:szCs w:val="20"/>
        </w:rPr>
      </w:pPr>
      <w:r>
        <w:rPr>
          <w:rFonts w:eastAsia="Times New Roman" w:cs="Calibri" w:ascii="Calibri" w:hAnsi="Calibri" w:asciiTheme="minorHAnsi" w:cstheme="minorHAnsi" w:hAnsiTheme="minorHAnsi"/>
          <w:color w:val="auto"/>
          <w:sz w:val="20"/>
          <w:szCs w:val="20"/>
          <w:lang w:eastAsia="sk-SK"/>
        </w:rPr>
        <w:t>7. V prípade, ak zhotoviteľ pred ukončením zmluvného záväzku v plnom rozsahu podľa tejto zmluvy odstúpi od zmluvy z akýchkoľvek dôvodov na jeho strane, zaväzuje sa</w:t>
      </w:r>
      <w:r>
        <w:rPr>
          <w:rFonts w:cs="Calibri" w:ascii="Calibri" w:hAnsi="Calibri" w:asciiTheme="minorHAnsi" w:cstheme="minorHAnsi" w:hAnsiTheme="minorHAnsi"/>
          <w:color w:val="auto"/>
          <w:sz w:val="20"/>
          <w:szCs w:val="20"/>
        </w:rPr>
        <w:t xml:space="preserve"> pre tento prípad zaplatiť objednávateľovi zmluvnú pokutu vo výške, ktorá sa rovná celkovej cene za dielo uvedenej v čl. 4 ods.1. Týmto ustanovením nie je dotknutý nárok objednávateľa voči zhotoviteľovi na náhradu takto spôsobenej škody.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auto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auto"/>
          <w:sz w:val="20"/>
          <w:szCs w:val="20"/>
        </w:rPr>
        <w:t>8. Zmluvná pokuta je splatná najneskôr 30 (tridsiatym) dňom odo dňa kedy došlo ku vzniku nároku na uplatnenie jej nároku.</w:t>
      </w:r>
    </w:p>
    <w:p>
      <w:pPr>
        <w:pStyle w:val="Normal"/>
        <w:spacing w:lineRule="auto" w:line="240" w:before="0" w:after="31"/>
        <w:ind w:right="1" w:hanging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9. Úhradou zmluvnej pokuty sa príslušná Zmluvná strana nezbavuje povinnosti pokračovať v plnení tejto zmluvy, ani nahradiť škodu vo výške prevyšujúcej zmluvnú pokutu, ktorá porušením povinnosti vznikla.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cstheme="minorHAnsi" w:ascii="Calibri" w:hAnsi="Calibri"/>
          <w:b/>
          <w:bCs/>
          <w:sz w:val="20"/>
          <w:szCs w:val="20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>IX.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>Zánik a odstúpenie od zmluvy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1.Zmluvné strany sú oprávnené od zmluvy odstúpiť, ak jedna zo zmluvných strán opakovane porušuje ustanovenia tejto zmluvy</w:t>
      </w:r>
    </w:p>
    <w:p>
      <w:pPr>
        <w:pStyle w:val="Default"/>
        <w:spacing w:before="0" w:after="2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2.Táto zmluva môže skončiť: </w:t>
      </w:r>
    </w:p>
    <w:p>
      <w:pPr>
        <w:pStyle w:val="Default"/>
        <w:spacing w:before="0" w:after="2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- písomnou dohodou zmluvných strán,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- odstúpením od zmluvy. </w:t>
      </w:r>
    </w:p>
    <w:p>
      <w:pPr>
        <w:pStyle w:val="Default"/>
        <w:spacing w:before="0" w:after="8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Cs/>
          <w:sz w:val="20"/>
          <w:szCs w:val="20"/>
        </w:rPr>
        <w:t xml:space="preserve">3.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Zhotoviteľ je oprávnený od tejto zmluvy odstúpiť okrem prípadov vyplývajúcich zo všeobecne záväzných právnych predpisov tiež v prípade, ak Objednávateľ neposkytne Zhotoviteľovi potrebnú súčinnosť pre riadne plnenie záväzkov Zhotoviteľa podľa tejto zmluvy alebo bude v omeškaní s plnením svojich zmluvných záväzkov.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Cs/>
          <w:sz w:val="20"/>
          <w:szCs w:val="20"/>
        </w:rPr>
        <w:t xml:space="preserve">4.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Odstúpenie musí byť uskutočnené písomnou formou a je účinné okamihom jeho doručenia druhej Zmluvnej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strane. 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>X.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>Záverečné ustanovenia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Default"/>
        <w:spacing w:before="0" w:after="22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1. Táto zmluva nadobúda platnosť  a účinnosť dňom jej podpisu oboma zmluvnými stranami. </w:t>
      </w:r>
    </w:p>
    <w:p>
      <w:pPr>
        <w:pStyle w:val="Default"/>
        <w:spacing w:before="0" w:after="22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2. Otázky neupravené touto zmluvou sa riadia právnym poriadkom Slovenskej republiky a príslušnými ustanoveniami Obchodného zákonníka a ďalšími právnymi predpismi. </w:t>
      </w:r>
    </w:p>
    <w:p>
      <w:pPr>
        <w:pStyle w:val="Default"/>
        <w:spacing w:before="0" w:after="22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3. Zmeny a dodatky tejto zmluvy musia byť vykonané formou písomného dodatku k zmluve a musia byť podpísané oboma zmluvnými stranami. 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0"/>
          <w:szCs w:val="20"/>
          <w:lang w:eastAsia="sk-SK"/>
        </w:rPr>
      </w:pPr>
      <w:r>
        <w:rPr>
          <w:rFonts w:cs="Calibri" w:cstheme="minorHAnsi"/>
          <w:sz w:val="20"/>
          <w:szCs w:val="20"/>
        </w:rPr>
        <w:t>4.Zmluvné strany berú na vedomie a rešpektujú povinnosti vyplývajúce zo skutočnosti, že predmet zmluvy je financovaný z fondov EÚ.</w:t>
      </w:r>
    </w:p>
    <w:p>
      <w:pPr>
        <w:pStyle w:val="Default"/>
        <w:spacing w:before="0" w:after="22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5. Táto zmluva je vyhotovená v dvoch (2) rovnopisoch majúcich platnosť originálu, z ktorých po jednom </w:t>
      </w:r>
    </w:p>
    <w:p>
      <w:pPr>
        <w:pStyle w:val="Default"/>
        <w:spacing w:before="0" w:after="22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(1) obdrží každá zo zmluvných strán.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6.. Zmluvné strany vyhlasujú, že si túto zmluvu riadne prečítali, jej obsahu porozumeli, zmluvu neuzavreli v tiesni, ani za nápadne nevýhodných podmienok a že táto zmluva vyjadruje ich skutočnú a slobodnú vôľu. Zmluvné strany obsah zmluvy na dôkaz svojho súhlasu potvrdzujú svojimi podpismi.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V 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Častej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, dňa ..................... </w:t>
        <w:tab/>
        <w:tab/>
        <w:tab/>
        <w:tab/>
        <w:t xml:space="preserve">         V ............................, dňa ........................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cstheme="minorHAnsi" w:ascii="Calibri" w:hAnsi="Calibri"/>
          <w:b/>
          <w:bCs/>
          <w:sz w:val="20"/>
          <w:szCs w:val="20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 xml:space="preserve">Objednávateľ: </w:t>
        <w:tab/>
        <w:tab/>
        <w:tab/>
        <w:tab/>
        <w:tab/>
        <w:tab/>
        <w:tab/>
        <w:t xml:space="preserve">Zhotoviteľ: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cstheme="minorHAnsi" w:ascii="Calibri" w:hAnsi="Calibri"/>
          <w:b/>
          <w:bCs/>
          <w:sz w:val="20"/>
          <w:szCs w:val="20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cstheme="minorHAnsi" w:ascii="Calibri" w:hAnsi="Calibri"/>
          <w:b/>
          <w:bCs/>
          <w:sz w:val="20"/>
          <w:szCs w:val="20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 xml:space="preserve">_____________________________                                                        _____________________________ </w:t>
      </w:r>
    </w:p>
    <w:p>
      <w:pPr>
        <w:pStyle w:val="Normal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            </w:t>
      </w:r>
      <w:r>
        <w:rPr>
          <w:rFonts w:cs="Calibri" w:cstheme="minorHAnsi"/>
          <w:sz w:val="20"/>
          <w:szCs w:val="20"/>
        </w:rPr>
        <w:t>Podpis a pečiatka</w:t>
        <w:tab/>
        <w:tab/>
        <w:tab/>
        <w:tab/>
        <w:tab/>
        <w:tab/>
        <w:tab/>
        <w:t>podpis a pečiatka</w:t>
      </w: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cs="Calibri" w:cstheme="minorHAnsi"/>
          <w:sz w:val="20"/>
          <w:szCs w:val="20"/>
        </w:rPr>
      </w:pPr>
      <w:r>
        <w:rPr/>
      </w: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Príloha č.1</w:t>
        <w:tab/>
        <w:tab/>
        <w:tab/>
        <w:tab/>
      </w:r>
    </w:p>
    <w:p>
      <w:pPr>
        <w:pStyle w:val="Normal"/>
        <w:numPr>
          <w:ilvl w:val="0"/>
          <w:numId w:val="0"/>
        </w:numPr>
        <w:spacing w:before="0" w:after="283"/>
        <w:ind w:left="720" w:hanging="0"/>
        <w:jc w:val="center"/>
        <w:rPr>
          <w:rFonts w:ascii="Arial;sans-serif" w:hAnsi="Arial;sans-serif"/>
          <w:lang w:val="sk-SK"/>
        </w:rPr>
      </w:pPr>
      <w:r>
        <w:rPr>
          <w:rFonts w:ascii="Arial;sans-serif" w:hAnsi="Arial;sans-serif"/>
          <w:lang w:val="sk-SK"/>
        </w:rPr>
        <w:t>ŠPECIFIKÁCIA PREDMETU ZÁKAZKY</w:t>
      </w:r>
    </w:p>
    <w:p>
      <w:pPr>
        <w:pStyle w:val="Normal"/>
        <w:numPr>
          <w:ilvl w:val="0"/>
          <w:numId w:val="0"/>
        </w:numPr>
        <w:spacing w:before="0" w:after="283"/>
        <w:ind w:left="720" w:hanging="0"/>
        <w:jc w:val="center"/>
        <w:rPr/>
      </w:pPr>
      <w:r>
        <w:rPr>
          <w:rFonts w:ascii="Arial;sans-serif" w:hAnsi="Arial;sans-serif"/>
          <w:lang w:val="sk-SK"/>
        </w:rPr>
        <w:t xml:space="preserve"> </w:t>
      </w:r>
      <w:r>
        <w:rPr>
          <w:rFonts w:eastAsia="Calibri" w:cs="Calibri" w:ascii="Arial;sans-serif" w:hAnsi="Arial;sans-serif"/>
          <w:b/>
          <w:bCs/>
          <w:i/>
          <w:kern w:val="0"/>
          <w:sz w:val="24"/>
          <w:szCs w:val="24"/>
          <w:lang w:val="sk-SK" w:eastAsia="en-US" w:bidi="ar-SA"/>
        </w:rPr>
        <w:t>Propagácia územia MAS prostredníctvom prezentácií vo virtuálnom priestore</w:t>
      </w:r>
    </w:p>
    <w:p>
      <w:pPr>
        <w:pStyle w:val="Normal"/>
        <w:numPr>
          <w:ilvl w:val="0"/>
          <w:numId w:val="0"/>
        </w:numPr>
        <w:spacing w:before="0" w:after="283"/>
        <w:ind w:left="720" w:hanging="0"/>
        <w:rPr>
          <w:rFonts w:ascii="Arial;sans-serif" w:hAnsi="Arial;sans-serif" w:eastAsia="Calibri" w:cs="Calibri"/>
          <w:b/>
          <w:b/>
          <w:bCs/>
          <w:i/>
          <w:i/>
          <w:kern w:val="0"/>
          <w:sz w:val="24"/>
          <w:szCs w:val="24"/>
          <w:lang w:val="sk-SK" w:eastAsia="en-US" w:bidi="ar-SA"/>
        </w:rPr>
      </w:pPr>
      <w:r>
        <w:rPr>
          <w:rFonts w:eastAsia="Calibri" w:cs="Calibri" w:ascii="Arial;sans-serif" w:hAnsi="Arial;sans-serif"/>
          <w:b/>
          <w:bCs/>
          <w:i/>
          <w:kern w:val="0"/>
          <w:sz w:val="24"/>
          <w:szCs w:val="24"/>
          <w:lang w:val="sk-SK" w:eastAsia="en-US" w:bidi="ar-SA"/>
        </w:rPr>
      </w:r>
    </w:p>
    <w:p>
      <w:pPr>
        <w:pStyle w:val="Normal"/>
        <w:numPr>
          <w:ilvl w:val="0"/>
          <w:numId w:val="1"/>
        </w:numPr>
        <w:spacing w:before="0" w:after="283"/>
        <w:rPr/>
      </w:pPr>
      <w:r>
        <w:rPr>
          <w:rFonts w:ascii="Arial;sans-serif" w:hAnsi="Arial;sans-serif"/>
          <w:lang w:val="sk-SK"/>
        </w:rPr>
        <w:t>nasnímanie dohodnutých objektov 360° objektívom</w:t>
      </w:r>
      <w:r>
        <w:rPr>
          <w:rFonts w:ascii="Arial;sans-serif" w:hAnsi="Arial;sans-serif"/>
          <w:color w:val="auto"/>
          <w:lang w:val="sk-SK"/>
        </w:rPr>
        <w:t xml:space="preserve"> v minimálnom rozlíšení 4000 x 20000px</w:t>
      </w:r>
    </w:p>
    <w:p>
      <w:pPr>
        <w:pStyle w:val="Normal"/>
        <w:numPr>
          <w:ilvl w:val="0"/>
          <w:numId w:val="1"/>
        </w:numPr>
        <w:spacing w:before="0" w:after="283"/>
        <w:rPr>
          <w:rFonts w:ascii="Arial;sans-serif" w:hAnsi="Arial;sans-serif"/>
          <w:lang w:val="sk-SK"/>
        </w:rPr>
      </w:pPr>
      <w:r>
        <w:rPr>
          <w:rFonts w:ascii="Arial;sans-serif" w:hAnsi="Arial;sans-serif"/>
          <w:lang w:val="sk-SK"/>
        </w:rPr>
        <w:t>spracovanie a následná úprava digitálneho obsahu</w:t>
      </w:r>
    </w:p>
    <w:p>
      <w:pPr>
        <w:pStyle w:val="Normal"/>
        <w:numPr>
          <w:ilvl w:val="0"/>
          <w:numId w:val="1"/>
        </w:numPr>
        <w:spacing w:before="0" w:after="283"/>
        <w:rPr>
          <w:rFonts w:ascii="Arial;sans-serif" w:hAnsi="Arial;sans-serif"/>
          <w:lang w:val="sk-SK"/>
        </w:rPr>
      </w:pPr>
      <w:r>
        <w:rPr>
          <w:rFonts w:ascii="Arial;sans-serif" w:hAnsi="Arial;sans-serif"/>
          <w:lang w:val="sk-SK"/>
        </w:rPr>
        <w:t>vytvorenie virtuálnych prehliadok</w:t>
      </w:r>
    </w:p>
    <w:p>
      <w:pPr>
        <w:pStyle w:val="Normal"/>
        <w:numPr>
          <w:ilvl w:val="0"/>
          <w:numId w:val="1"/>
        </w:numPr>
        <w:spacing w:before="0" w:after="283"/>
        <w:rPr>
          <w:rFonts w:ascii="Arial;sans-serif" w:hAnsi="Arial;sans-serif"/>
          <w:lang w:val="sk-SK"/>
        </w:rPr>
      </w:pPr>
      <w:r>
        <w:rPr>
          <w:rFonts w:ascii="Arial;sans-serif" w:hAnsi="Arial;sans-serif"/>
          <w:lang w:val="sk-SK"/>
        </w:rPr>
        <w:t>aktualizácia vizitiek na Google Search, Google Maps</w:t>
      </w:r>
    </w:p>
    <w:p>
      <w:pPr>
        <w:pStyle w:val="Normal"/>
        <w:numPr>
          <w:ilvl w:val="0"/>
          <w:numId w:val="1"/>
        </w:numPr>
        <w:spacing w:before="0" w:after="283"/>
        <w:rPr>
          <w:rFonts w:ascii="Arial;sans-serif" w:hAnsi="Arial;sans-serif"/>
          <w:lang w:val="sk-SK"/>
        </w:rPr>
      </w:pPr>
      <w:r>
        <w:rPr>
          <w:rFonts w:ascii="Arial;sans-serif" w:hAnsi="Arial;sans-serif"/>
          <w:lang w:val="sk-SK"/>
        </w:rPr>
        <w:t>umiestnenie virtuálnych prehliadok do vizitiek na Google maps a Google Search</w:t>
      </w:r>
    </w:p>
    <w:p>
      <w:pPr>
        <w:pStyle w:val="Normal"/>
        <w:numPr>
          <w:ilvl w:val="0"/>
          <w:numId w:val="1"/>
        </w:numPr>
        <w:spacing w:before="0" w:after="283"/>
        <w:rPr>
          <w:rFonts w:ascii="Arial;sans-serif" w:hAnsi="Arial;sans-serif"/>
          <w:lang w:val="sk-SK"/>
        </w:rPr>
      </w:pPr>
      <w:r>
        <w:rPr>
          <w:rFonts w:ascii="Arial;sans-serif" w:hAnsi="Arial;sans-serif"/>
          <w:lang w:val="sk-SK"/>
        </w:rPr>
        <w:t xml:space="preserve">príprava podkladov pre zverejnenie virtuálnych prehliadok aj na vlastných webových stránkach </w:t>
      </w:r>
    </w:p>
    <w:p>
      <w:pPr>
        <w:pStyle w:val="Normal"/>
        <w:numPr>
          <w:ilvl w:val="0"/>
          <w:numId w:val="1"/>
        </w:numPr>
        <w:spacing w:before="0" w:after="283"/>
        <w:rPr>
          <w:rFonts w:ascii="Arial;sans-serif" w:hAnsi="Arial;sans-serif"/>
          <w:lang w:val="sk-SK"/>
        </w:rPr>
      </w:pPr>
      <w:r>
        <w:rPr>
          <w:rFonts w:ascii="Arial;sans-serif" w:hAnsi="Arial;sans-serif"/>
          <w:lang w:val="sk-SK"/>
        </w:rPr>
        <w:t>nasnímanie a dodanie klasických 2D snímok všetkých objektov</w:t>
      </w:r>
    </w:p>
    <w:p>
      <w:pPr>
        <w:pStyle w:val="Telotextu"/>
        <w:bidi w:val="0"/>
        <w:rPr/>
      </w:pPr>
      <w:r>
        <w:rPr/>
      </w:r>
    </w:p>
    <w:tbl>
      <w:tblPr>
        <w:tblW w:w="10426" w:type="dxa"/>
        <w:jc w:val="left"/>
        <w:tblInd w:w="-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52"/>
        <w:gridCol w:w="3160"/>
        <w:gridCol w:w="216"/>
        <w:gridCol w:w="1714"/>
        <w:gridCol w:w="4084"/>
      </w:tblGrid>
      <w:tr>
        <w:trPr>
          <w:trHeight w:val="276" w:hRule="atLeast"/>
        </w:trPr>
        <w:tc>
          <w:tcPr>
            <w:tcW w:w="125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/>
                <w:b/>
              </w:rPr>
            </w:pPr>
            <w:r>
              <w:rPr>
                <w:b/>
              </w:rPr>
              <w:t>Bahóň</w:t>
            </w:r>
          </w:p>
        </w:tc>
        <w:tc>
          <w:tcPr>
            <w:tcW w:w="31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  <w:t>súsošie padlých</w:t>
            </w:r>
          </w:p>
        </w:tc>
        <w:tc>
          <w:tcPr>
            <w:tcW w:w="21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71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/>
                <w:b/>
              </w:rPr>
            </w:pPr>
            <w:r>
              <w:rPr>
                <w:b/>
              </w:rPr>
              <w:t>Častá</w:t>
            </w:r>
          </w:p>
        </w:tc>
        <w:tc>
          <w:tcPr>
            <w:tcW w:w="408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  <w:t>kostol sv. Imricha</w:t>
            </w:r>
          </w:p>
        </w:tc>
      </w:tr>
      <w:tr>
        <w:trPr>
          <w:trHeight w:val="276" w:hRule="atLeast"/>
        </w:trPr>
        <w:tc>
          <w:tcPr>
            <w:tcW w:w="125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31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  <w:t>kostol sv. Františka z Asisi</w:t>
            </w:r>
          </w:p>
        </w:tc>
        <w:tc>
          <w:tcPr>
            <w:tcW w:w="21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71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408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  <w:t>hrad červený kameň</w:t>
            </w:r>
          </w:p>
        </w:tc>
      </w:tr>
      <w:tr>
        <w:trPr>
          <w:trHeight w:val="276" w:hRule="atLeast"/>
        </w:trPr>
        <w:tc>
          <w:tcPr>
            <w:tcW w:w="125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31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  <w:t>Kríže a sochy svätych</w:t>
            </w:r>
          </w:p>
        </w:tc>
        <w:tc>
          <w:tcPr>
            <w:tcW w:w="21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71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408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  <w:t>kalvária</w:t>
            </w:r>
          </w:p>
        </w:tc>
      </w:tr>
      <w:tr>
        <w:trPr>
          <w:trHeight w:val="276" w:hRule="atLeast"/>
        </w:trPr>
        <w:tc>
          <w:tcPr>
            <w:tcW w:w="125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31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  <w:t>Park</w:t>
            </w:r>
          </w:p>
        </w:tc>
        <w:tc>
          <w:tcPr>
            <w:tcW w:w="21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71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408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  <w:t>kaplnka najsvätejšieho spasiteľa (na cintoríne)</w:t>
            </w:r>
          </w:p>
        </w:tc>
      </w:tr>
      <w:tr>
        <w:trPr>
          <w:trHeight w:val="276" w:hRule="atLeast"/>
        </w:trPr>
        <w:tc>
          <w:tcPr>
            <w:tcW w:w="125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31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21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71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408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125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/>
                <w:b/>
              </w:rPr>
            </w:pPr>
            <w:r>
              <w:rPr>
                <w:b/>
              </w:rPr>
              <w:t>Budmerice</w:t>
            </w:r>
          </w:p>
        </w:tc>
        <w:tc>
          <w:tcPr>
            <w:tcW w:w="31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  <w:t>kaštiel zmapovany v roku 2017</w:t>
            </w:r>
          </w:p>
        </w:tc>
        <w:tc>
          <w:tcPr>
            <w:tcW w:w="21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71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/>
                <w:b/>
              </w:rPr>
            </w:pPr>
            <w:r>
              <w:rPr>
                <w:b/>
              </w:rPr>
              <w:t>Doľany</w:t>
            </w:r>
          </w:p>
        </w:tc>
        <w:tc>
          <w:tcPr>
            <w:tcW w:w="408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  <w:t>Kostol sv. Kataríny</w:t>
            </w:r>
          </w:p>
        </w:tc>
      </w:tr>
      <w:tr>
        <w:trPr>
          <w:trHeight w:val="276" w:hRule="atLeast"/>
        </w:trPr>
        <w:tc>
          <w:tcPr>
            <w:tcW w:w="125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31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  <w:t>budmerický rybník</w:t>
            </w:r>
          </w:p>
        </w:tc>
        <w:tc>
          <w:tcPr>
            <w:tcW w:w="21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71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408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  <w:t>kostolik sv. Leonarda</w:t>
            </w:r>
          </w:p>
        </w:tc>
      </w:tr>
      <w:tr>
        <w:trPr>
          <w:trHeight w:val="276" w:hRule="atLeast"/>
        </w:trPr>
        <w:tc>
          <w:tcPr>
            <w:tcW w:w="125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31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  <w:t>lindava</w:t>
            </w:r>
          </w:p>
        </w:tc>
        <w:tc>
          <w:tcPr>
            <w:tcW w:w="21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71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408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  <w:t>veža</w:t>
            </w:r>
          </w:p>
        </w:tc>
      </w:tr>
      <w:tr>
        <w:trPr>
          <w:trHeight w:val="276" w:hRule="atLeast"/>
        </w:trPr>
        <w:tc>
          <w:tcPr>
            <w:tcW w:w="125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31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  <w:t>naučný chodník_ v katastri obce</w:t>
            </w:r>
          </w:p>
        </w:tc>
        <w:tc>
          <w:tcPr>
            <w:tcW w:w="21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71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408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  <w:t>vinohrady</w:t>
            </w:r>
          </w:p>
        </w:tc>
      </w:tr>
      <w:tr>
        <w:trPr>
          <w:trHeight w:val="276" w:hRule="atLeast"/>
        </w:trPr>
        <w:tc>
          <w:tcPr>
            <w:tcW w:w="125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31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21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71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408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125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/>
                <w:b/>
              </w:rPr>
            </w:pPr>
            <w:r>
              <w:rPr>
                <w:b/>
              </w:rPr>
              <w:t>Modrá</w:t>
            </w:r>
          </w:p>
        </w:tc>
        <w:tc>
          <w:tcPr>
            <w:tcW w:w="31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  <w:t>malokarpatská vinná cestá</w:t>
            </w:r>
          </w:p>
        </w:tc>
        <w:tc>
          <w:tcPr>
            <w:tcW w:w="21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71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/>
                <w:b/>
              </w:rPr>
            </w:pPr>
            <w:r>
              <w:rPr>
                <w:b/>
              </w:rPr>
              <w:t>Píla</w:t>
            </w:r>
          </w:p>
        </w:tc>
        <w:tc>
          <w:tcPr>
            <w:tcW w:w="408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  <w:t>vodopád girda („HUČÁK“)</w:t>
            </w:r>
          </w:p>
        </w:tc>
      </w:tr>
      <w:tr>
        <w:trPr>
          <w:trHeight w:val="276" w:hRule="atLeast"/>
        </w:trPr>
        <w:tc>
          <w:tcPr>
            <w:tcW w:w="125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31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  <w:t>rozhľadňa veľká homola</w:t>
            </w:r>
          </w:p>
        </w:tc>
        <w:tc>
          <w:tcPr>
            <w:tcW w:w="21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71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408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  <w:t>kostol navštívenia panny Márie</w:t>
            </w:r>
          </w:p>
        </w:tc>
      </w:tr>
      <w:tr>
        <w:trPr>
          <w:trHeight w:val="276" w:hRule="atLeast"/>
        </w:trPr>
        <w:tc>
          <w:tcPr>
            <w:tcW w:w="125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31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  <w:t>lyžiarské stredisko Zochová chata</w:t>
            </w:r>
          </w:p>
        </w:tc>
        <w:tc>
          <w:tcPr>
            <w:tcW w:w="21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71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408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  <w:t>obecný úrad -okolie</w:t>
            </w:r>
          </w:p>
        </w:tc>
      </w:tr>
      <w:tr>
        <w:trPr>
          <w:trHeight w:val="276" w:hRule="atLeast"/>
        </w:trPr>
        <w:tc>
          <w:tcPr>
            <w:tcW w:w="125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31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  <w:t>_____ muzeum</w:t>
            </w:r>
          </w:p>
        </w:tc>
        <w:tc>
          <w:tcPr>
            <w:tcW w:w="21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71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408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125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31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  <w:t>múzeum Ľudovíta Štúra</w:t>
            </w:r>
          </w:p>
        </w:tc>
        <w:tc>
          <w:tcPr>
            <w:tcW w:w="21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71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/>
                <w:b/>
              </w:rPr>
            </w:pPr>
            <w:r>
              <w:rPr>
                <w:b/>
              </w:rPr>
              <w:t>Viničné</w:t>
            </w:r>
          </w:p>
        </w:tc>
        <w:tc>
          <w:tcPr>
            <w:tcW w:w="408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  <w:t>dom kultúry</w:t>
            </w:r>
          </w:p>
        </w:tc>
      </w:tr>
      <w:tr>
        <w:trPr>
          <w:trHeight w:val="276" w:hRule="atLeast"/>
        </w:trPr>
        <w:tc>
          <w:tcPr>
            <w:tcW w:w="125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31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  <w:t>veľmi veľa je toho</w:t>
            </w:r>
          </w:p>
        </w:tc>
        <w:tc>
          <w:tcPr>
            <w:tcW w:w="21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71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408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  <w:t>kostol sv. Jakuba</w:t>
            </w:r>
          </w:p>
        </w:tc>
      </w:tr>
      <w:tr>
        <w:trPr>
          <w:trHeight w:val="276" w:hRule="atLeast"/>
        </w:trPr>
        <w:tc>
          <w:tcPr>
            <w:tcW w:w="125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31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21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71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408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  <w:t>futbalové ihrisko</w:t>
            </w:r>
          </w:p>
        </w:tc>
      </w:tr>
      <w:tr>
        <w:trPr>
          <w:trHeight w:val="276" w:hRule="atLeast"/>
        </w:trPr>
        <w:tc>
          <w:tcPr>
            <w:tcW w:w="125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/>
                <w:b/>
              </w:rPr>
            </w:pPr>
            <w:r>
              <w:rPr>
                <w:b/>
              </w:rPr>
              <w:t>Štefánová</w:t>
            </w:r>
          </w:p>
        </w:tc>
        <w:tc>
          <w:tcPr>
            <w:tcW w:w="31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  <w:t>putnická kaplnka sv. Rozálie</w:t>
            </w:r>
          </w:p>
        </w:tc>
        <w:tc>
          <w:tcPr>
            <w:tcW w:w="21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71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408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  <w:t>viničianský kanal</w:t>
            </w:r>
          </w:p>
        </w:tc>
      </w:tr>
      <w:tr>
        <w:trPr>
          <w:trHeight w:val="276" w:hRule="atLeast"/>
        </w:trPr>
        <w:tc>
          <w:tcPr>
            <w:tcW w:w="125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31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  <w:t>kostol sv. Štefana</w:t>
            </w:r>
          </w:p>
        </w:tc>
        <w:tc>
          <w:tcPr>
            <w:tcW w:w="21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71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408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125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31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  <w:t>obecný úrad</w:t>
            </w:r>
          </w:p>
        </w:tc>
        <w:tc>
          <w:tcPr>
            <w:tcW w:w="21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71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/>
                <w:b/>
              </w:rPr>
            </w:pPr>
            <w:r>
              <w:rPr>
                <w:b/>
              </w:rPr>
              <w:t>Jablonec</w:t>
            </w:r>
          </w:p>
        </w:tc>
        <w:tc>
          <w:tcPr>
            <w:tcW w:w="408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  <w:t>naučný chodník</w:t>
            </w:r>
          </w:p>
        </w:tc>
      </w:tr>
      <w:tr>
        <w:trPr>
          <w:trHeight w:val="276" w:hRule="atLeast"/>
        </w:trPr>
        <w:tc>
          <w:tcPr>
            <w:tcW w:w="125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31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21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71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408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  <w:t>rozhľadňa</w:t>
            </w:r>
          </w:p>
        </w:tc>
      </w:tr>
      <w:tr>
        <w:trPr>
          <w:trHeight w:val="276" w:hRule="atLeast"/>
        </w:trPr>
        <w:tc>
          <w:tcPr>
            <w:tcW w:w="125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/>
                <w:b/>
              </w:rPr>
            </w:pPr>
            <w:r>
              <w:rPr>
                <w:b/>
              </w:rPr>
              <w:t>Višťuk</w:t>
            </w:r>
          </w:p>
        </w:tc>
        <w:tc>
          <w:tcPr>
            <w:tcW w:w="31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  <w:t>strelnica Višťťuk</w:t>
            </w:r>
          </w:p>
        </w:tc>
        <w:tc>
          <w:tcPr>
            <w:tcW w:w="21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71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408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  <w:t>kostol sv. Márie</w:t>
            </w:r>
          </w:p>
        </w:tc>
      </w:tr>
      <w:tr>
        <w:trPr>
          <w:trHeight w:val="276" w:hRule="atLeast"/>
        </w:trPr>
        <w:tc>
          <w:tcPr>
            <w:tcW w:w="125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31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  <w:t>strelnica hájiček</w:t>
            </w:r>
          </w:p>
        </w:tc>
        <w:tc>
          <w:tcPr>
            <w:tcW w:w="21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71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408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  <w:t>obecný úrad</w:t>
            </w:r>
          </w:p>
        </w:tc>
      </w:tr>
      <w:tr>
        <w:trPr>
          <w:trHeight w:val="276" w:hRule="atLeast"/>
        </w:trPr>
        <w:tc>
          <w:tcPr>
            <w:tcW w:w="125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31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  <w:t>futbalové ihrisko</w:t>
            </w:r>
          </w:p>
        </w:tc>
        <w:tc>
          <w:tcPr>
            <w:tcW w:w="21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71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408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125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31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  <w:t>kostol najsvätejšej trojice</w:t>
            </w:r>
          </w:p>
        </w:tc>
        <w:tc>
          <w:tcPr>
            <w:tcW w:w="21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71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/>
                <w:b/>
              </w:rPr>
            </w:pPr>
            <w:r>
              <w:rPr>
                <w:b/>
              </w:rPr>
              <w:t>Dubová</w:t>
            </w:r>
          </w:p>
        </w:tc>
        <w:tc>
          <w:tcPr>
            <w:tcW w:w="408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  <w:t>kukla</w:t>
            </w:r>
          </w:p>
        </w:tc>
      </w:tr>
      <w:tr>
        <w:trPr>
          <w:trHeight w:val="276" w:hRule="atLeast"/>
        </w:trPr>
        <w:tc>
          <w:tcPr>
            <w:tcW w:w="125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31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21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71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408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  <w:t>letisko</w:t>
            </w:r>
          </w:p>
        </w:tc>
      </w:tr>
      <w:tr>
        <w:trPr>
          <w:trHeight w:val="276" w:hRule="atLeast"/>
        </w:trPr>
        <w:tc>
          <w:tcPr>
            <w:tcW w:w="125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/>
                <w:b/>
              </w:rPr>
            </w:pPr>
            <w:r>
              <w:rPr>
                <w:b/>
              </w:rPr>
              <w:t>Sv. Júr</w:t>
            </w:r>
          </w:p>
        </w:tc>
        <w:tc>
          <w:tcPr>
            <w:tcW w:w="31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  <w:t>citerárne vlastivedné centrum</w:t>
            </w:r>
          </w:p>
        </w:tc>
        <w:tc>
          <w:tcPr>
            <w:tcW w:w="21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71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408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  <w:t>futbalové ihrisko</w:t>
            </w:r>
          </w:p>
        </w:tc>
      </w:tr>
      <w:tr>
        <w:trPr>
          <w:trHeight w:val="276" w:hRule="atLeast"/>
        </w:trPr>
        <w:tc>
          <w:tcPr>
            <w:tcW w:w="125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31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  <w:t>kostol sv. Juraja</w:t>
            </w:r>
          </w:p>
        </w:tc>
        <w:tc>
          <w:tcPr>
            <w:tcW w:w="21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71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408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  <w:t>cintorín</w:t>
            </w:r>
          </w:p>
        </w:tc>
      </w:tr>
      <w:tr>
        <w:trPr>
          <w:trHeight w:val="276" w:hRule="atLeast"/>
        </w:trPr>
        <w:tc>
          <w:tcPr>
            <w:tcW w:w="125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31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  <w:t>slovanské veľkomoravské hradisko</w:t>
            </w:r>
          </w:p>
        </w:tc>
        <w:tc>
          <w:tcPr>
            <w:tcW w:w="21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71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408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  <w:t>park v obci – historický preš</w:t>
            </w:r>
          </w:p>
        </w:tc>
      </w:tr>
      <w:tr>
        <w:trPr>
          <w:trHeight w:val="276" w:hRule="atLeast"/>
        </w:trPr>
        <w:tc>
          <w:tcPr>
            <w:tcW w:w="125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31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  <w:t>renesančný vinohradnický dom</w:t>
            </w:r>
          </w:p>
        </w:tc>
        <w:tc>
          <w:tcPr>
            <w:tcW w:w="21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71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408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125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31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21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71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/>
                <w:b/>
              </w:rPr>
            </w:pPr>
            <w:r>
              <w:rPr>
                <w:b/>
              </w:rPr>
              <w:t>Chorvatský grob</w:t>
            </w:r>
          </w:p>
        </w:tc>
        <w:tc>
          <w:tcPr>
            <w:tcW w:w="408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  <w:t>obecný úrad</w:t>
            </w:r>
          </w:p>
        </w:tc>
      </w:tr>
      <w:tr>
        <w:trPr>
          <w:trHeight w:val="276" w:hRule="atLeast"/>
        </w:trPr>
        <w:tc>
          <w:tcPr>
            <w:tcW w:w="125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/>
                <w:b/>
              </w:rPr>
            </w:pPr>
            <w:r>
              <w:rPr>
                <w:b/>
              </w:rPr>
              <w:t>Šenkvice</w:t>
            </w:r>
          </w:p>
        </w:tc>
        <w:tc>
          <w:tcPr>
            <w:tcW w:w="31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  <w:t>motocros</w:t>
            </w:r>
          </w:p>
        </w:tc>
        <w:tc>
          <w:tcPr>
            <w:tcW w:w="21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71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408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  <w:t>ZŠ Javorova alej so športovým areálom</w:t>
            </w:r>
          </w:p>
        </w:tc>
      </w:tr>
      <w:tr>
        <w:trPr>
          <w:trHeight w:val="276" w:hRule="atLeast"/>
        </w:trPr>
        <w:tc>
          <w:tcPr>
            <w:tcW w:w="125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31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  <w:t>strelnica</w:t>
            </w:r>
          </w:p>
        </w:tc>
        <w:tc>
          <w:tcPr>
            <w:tcW w:w="21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71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408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  <w:t>kostol sv. Jána pavla II.</w:t>
            </w:r>
          </w:p>
        </w:tc>
      </w:tr>
      <w:tr>
        <w:trPr>
          <w:trHeight w:val="276" w:hRule="atLeast"/>
        </w:trPr>
        <w:tc>
          <w:tcPr>
            <w:tcW w:w="125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31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  <w:t>námestie úprava</w:t>
            </w:r>
          </w:p>
        </w:tc>
        <w:tc>
          <w:tcPr>
            <w:tcW w:w="21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71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408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  <w:t>kostol Krista kráľa</w:t>
            </w:r>
          </w:p>
        </w:tc>
      </w:tr>
      <w:tr>
        <w:trPr>
          <w:trHeight w:val="276" w:hRule="atLeast"/>
        </w:trPr>
        <w:tc>
          <w:tcPr>
            <w:tcW w:w="125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31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  <w:t>šenkvický háj</w:t>
            </w:r>
          </w:p>
        </w:tc>
        <w:tc>
          <w:tcPr>
            <w:tcW w:w="21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71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408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  <w:t>ZŠ Školská so športovo-kultúrnym areálom</w:t>
            </w:r>
          </w:p>
        </w:tc>
      </w:tr>
      <w:tr>
        <w:trPr>
          <w:trHeight w:val="276" w:hRule="atLeast"/>
        </w:trPr>
        <w:tc>
          <w:tcPr>
            <w:tcW w:w="125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31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21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71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408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125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/>
                <w:b/>
              </w:rPr>
            </w:pPr>
            <w:r>
              <w:rPr>
                <w:b/>
              </w:rPr>
              <w:t>Vinosady</w:t>
            </w:r>
          </w:p>
        </w:tc>
        <w:tc>
          <w:tcPr>
            <w:tcW w:w="31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  <w:t>kostol sv. martina</w:t>
            </w:r>
          </w:p>
        </w:tc>
        <w:tc>
          <w:tcPr>
            <w:tcW w:w="21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71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>
                <w:b/>
                <w:b/>
              </w:rPr>
            </w:pPr>
            <w:r>
              <w:rPr>
                <w:b/>
              </w:rPr>
              <w:t>Slovenský Grob</w:t>
            </w:r>
          </w:p>
        </w:tc>
        <w:tc>
          <w:tcPr>
            <w:tcW w:w="408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  <w:t>futbalové ihrisko</w:t>
            </w:r>
          </w:p>
        </w:tc>
      </w:tr>
      <w:tr>
        <w:trPr>
          <w:trHeight w:val="276" w:hRule="atLeast"/>
        </w:trPr>
        <w:tc>
          <w:tcPr>
            <w:tcW w:w="125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31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  <w:t>obecný futbalový klub</w:t>
            </w:r>
          </w:p>
        </w:tc>
        <w:tc>
          <w:tcPr>
            <w:tcW w:w="21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71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408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  <w:t>ihrisko okrúžna</w:t>
            </w:r>
          </w:p>
        </w:tc>
      </w:tr>
      <w:tr>
        <w:trPr>
          <w:trHeight w:val="276" w:hRule="atLeast"/>
        </w:trPr>
        <w:tc>
          <w:tcPr>
            <w:tcW w:w="125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31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  <w:t>obecný úrad</w:t>
            </w:r>
          </w:p>
        </w:tc>
        <w:tc>
          <w:tcPr>
            <w:tcW w:w="21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71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408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  <w:t>základná škola</w:t>
            </w:r>
          </w:p>
        </w:tc>
      </w:tr>
      <w:tr>
        <w:trPr>
          <w:trHeight w:val="276" w:hRule="atLeast"/>
        </w:trPr>
        <w:tc>
          <w:tcPr>
            <w:tcW w:w="1252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3160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216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171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</w:r>
          </w:p>
        </w:tc>
        <w:tc>
          <w:tcPr>
            <w:tcW w:w="4084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spacing w:before="0" w:after="160"/>
              <w:jc w:val="left"/>
              <w:rPr/>
            </w:pPr>
            <w:r>
              <w:rPr/>
              <w:t>obecný úrad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bidi w:val="0"/>
        <w:spacing w:before="0" w:after="160"/>
        <w:rPr>
          <w:rFonts w:cs="Calibri" w:cstheme="minorHAnsi"/>
          <w:sz w:val="20"/>
          <w:szCs w:val="20"/>
        </w:rPr>
      </w:pPr>
      <w:r>
        <w:rPr/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altName w:val="sans-serif"/>
    <w:charset w:val="ee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06742080"/>
    </w:sdtPr>
    <w:sdtContent>
      <w:p>
        <w:pPr>
          <w:pStyle w:val="Pta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  <w:p>
    <w:pPr>
      <w:pStyle w:val="Pt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270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df0739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df0739"/>
    <w:rPr/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Default" w:customStyle="1">
    <w:name w:val="Default"/>
    <w:qFormat/>
    <w:rsid w:val="004158e6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sk-SK" w:eastAsia="en-US" w:bidi="ar-SA"/>
    </w:rPr>
  </w:style>
  <w:style w:type="paragraph" w:styleId="Textbodyindent" w:customStyle="1">
    <w:name w:val="Text body indent"/>
    <w:basedOn w:val="Normal"/>
    <w:qFormat/>
    <w:rsid w:val="00635eea"/>
    <w:pPr>
      <w:suppressAutoHyphens w:val="true"/>
      <w:spacing w:lineRule="auto" w:line="240" w:before="0" w:after="0"/>
      <w:jc w:val="both"/>
    </w:pPr>
    <w:rPr>
      <w:rFonts w:ascii="Times New Roman" w:hAnsi="Times New Roman" w:eastAsia="Arial Unicode MS" w:cs="Times New Roman"/>
      <w:kern w:val="2"/>
      <w:lang w:eastAsia="zh-CN"/>
    </w:rPr>
  </w:style>
  <w:style w:type="paragraph" w:styleId="ListParagraph">
    <w:name w:val="List Paragraph"/>
    <w:basedOn w:val="Normal"/>
    <w:uiPriority w:val="34"/>
    <w:qFormat/>
    <w:rsid w:val="003e2e59"/>
    <w:pPr>
      <w:spacing w:before="0" w:after="160"/>
      <w:ind w:left="720" w:hanging="0"/>
      <w:contextualSpacing/>
    </w:pPr>
    <w:rPr/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link w:val="HeaderChar"/>
    <w:uiPriority w:val="99"/>
    <w:semiHidden/>
    <w:unhideWhenUsed/>
    <w:rsid w:val="00df073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ta">
    <w:name w:val="Footer"/>
    <w:basedOn w:val="Normal"/>
    <w:link w:val="FooterChar"/>
    <w:uiPriority w:val="99"/>
    <w:unhideWhenUsed/>
    <w:rsid w:val="00df073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LibreOffice/7.2.4.1$Windows_X86_64 LibreOffice_project/27d75539669ac387bb498e35313b970b7fe9c4f9</Application>
  <AppVersion>15.0000</AppVersion>
  <Pages>6</Pages>
  <Words>2024</Words>
  <Characters>12603</Characters>
  <CharactersWithSpaces>14574</CharactersWithSpaces>
  <Paragraphs>210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2021-04-20T09:29:00Z</dcterms:created>
  <dc:creator>Elenka</dc:creator>
  <dc:description/>
  <dc:language>sk-SK</dc:language>
  <cp:lastModifiedBy/>
  <dcterms:modified xsi:type="dcterms:W3CDTF">2023-04-21T17:20:37Z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